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DFBEC13">
      <w:pPr>
        <w:spacing w:line="580" w:lineRule="exact"/>
        <w:ind w:firstLine="5180" w:firstLineChars="1850"/>
        <w:rPr>
          <w:rFonts w:ascii="仿宋_GB2312" w:eastAsia="仿宋_GB2312"/>
          <w:sz w:val="28"/>
          <w:szCs w:val="28"/>
          <w:lang w:eastAsia="zh-CN"/>
        </w:rPr>
      </w:pPr>
      <w:r>
        <w:rPr>
          <w:rFonts w:hint="eastAsia" w:ascii="仿宋_GB2312" w:eastAsia="仿宋_GB2312"/>
          <w:sz w:val="28"/>
          <w:szCs w:val="28"/>
          <w:lang w:eastAsia="zh-CN"/>
        </w:rPr>
        <w:t>合同编号：镇粮202</w:t>
      </w:r>
      <w:r>
        <w:rPr>
          <w:rFonts w:hint="eastAsia" w:ascii="仿宋_GB2312" w:eastAsia="仿宋_GB2312"/>
          <w:sz w:val="28"/>
          <w:szCs w:val="28"/>
          <w:lang w:val="en-US" w:eastAsia="zh-CN"/>
        </w:rPr>
        <w:t>5</w:t>
      </w:r>
      <w:r>
        <w:rPr>
          <w:rFonts w:hint="eastAsia" w:ascii="仿宋_GB2312" w:eastAsia="仿宋_GB2312"/>
          <w:sz w:val="28"/>
          <w:szCs w:val="28"/>
          <w:lang w:eastAsia="zh-CN"/>
        </w:rPr>
        <w:t>-WYLD-01</w:t>
      </w:r>
    </w:p>
    <w:p w14:paraId="7518E3B5">
      <w:pPr>
        <w:spacing w:line="580" w:lineRule="exact"/>
        <w:ind w:firstLine="5460" w:firstLineChars="1950"/>
        <w:rPr>
          <w:rFonts w:ascii="仿宋_GB2312" w:eastAsia="仿宋_GB2312"/>
          <w:sz w:val="28"/>
          <w:szCs w:val="28"/>
          <w:lang w:eastAsia="zh-CN"/>
        </w:rPr>
      </w:pPr>
    </w:p>
    <w:p w14:paraId="4CE4CCCE">
      <w:pPr>
        <w:jc w:val="center"/>
        <w:rPr>
          <w:rFonts w:cs="黑体" w:asciiTheme="minorEastAsia" w:hAnsiTheme="minorEastAsia" w:eastAsiaTheme="minorEastAsia"/>
          <w:sz w:val="48"/>
          <w:szCs w:val="40"/>
          <w:lang w:eastAsia="zh-CN" w:bidi="zh-TW"/>
        </w:rPr>
      </w:pPr>
      <w:r>
        <w:rPr>
          <w:rFonts w:hint="eastAsia" w:cs="仿宋" w:asciiTheme="minorEastAsia" w:hAnsiTheme="minorEastAsia" w:eastAsiaTheme="minorEastAsia"/>
          <w:sz w:val="36"/>
          <w:szCs w:val="29"/>
          <w:lang w:val="zh-TW" w:eastAsia="zh-CN" w:bidi="zh-TW"/>
        </w:rPr>
        <w:t>2025年镇海区“五优联动”优质晚稻竞价协议</w:t>
      </w:r>
    </w:p>
    <w:p w14:paraId="448D6526">
      <w:pPr>
        <w:rPr>
          <w:rFonts w:cs="仿宋" w:asciiTheme="minorEastAsia" w:hAnsiTheme="minorEastAsia" w:eastAsiaTheme="minorEastAsia"/>
          <w:sz w:val="29"/>
          <w:szCs w:val="29"/>
          <w:lang w:eastAsia="zh-CN"/>
        </w:rPr>
      </w:pPr>
      <w:r>
        <w:rPr>
          <w:rFonts w:hint="eastAsia" w:cs="仿宋" w:asciiTheme="minorEastAsia" w:hAnsiTheme="minorEastAsia" w:eastAsiaTheme="minorEastAsia"/>
          <w:sz w:val="29"/>
          <w:szCs w:val="29"/>
          <w:lang w:eastAsia="zh-CN"/>
        </w:rPr>
        <w:t>甲方：镇海区粮食收储有限责任公司</w:t>
      </w:r>
    </w:p>
    <w:p w14:paraId="5934DFAC">
      <w:pPr>
        <w:rPr>
          <w:rFonts w:cs="仿宋" w:asciiTheme="minorEastAsia" w:hAnsiTheme="minorEastAsia" w:eastAsiaTheme="minorEastAsia"/>
          <w:sz w:val="29"/>
          <w:szCs w:val="29"/>
          <w:u w:val="single"/>
          <w:lang w:eastAsia="zh-CN"/>
        </w:rPr>
      </w:pPr>
      <w:r>
        <w:rPr>
          <w:rFonts w:hint="eastAsia" w:cs="仿宋" w:asciiTheme="minorEastAsia" w:hAnsiTheme="minorEastAsia" w:eastAsiaTheme="minorEastAsia"/>
          <w:sz w:val="29"/>
          <w:szCs w:val="29"/>
          <w:lang w:eastAsia="zh-CN"/>
        </w:rPr>
        <w:t>乙方：</w:t>
      </w:r>
    </w:p>
    <w:p w14:paraId="20DC75E4">
      <w:pPr>
        <w:ind w:firstLine="420" w:firstLineChars="200"/>
        <w:rPr>
          <w:rFonts w:cs="仿宋" w:asciiTheme="minorEastAsia" w:hAnsiTheme="minorEastAsia" w:eastAsiaTheme="minorEastAsia"/>
          <w:sz w:val="21"/>
          <w:szCs w:val="21"/>
          <w:lang w:eastAsia="zh-CN"/>
        </w:rPr>
      </w:pPr>
    </w:p>
    <w:p w14:paraId="2BE2F71B">
      <w:pPr>
        <w:ind w:firstLine="580" w:firstLineChars="200"/>
        <w:rPr>
          <w:rFonts w:cs="仿宋" w:asciiTheme="minorEastAsia" w:hAnsiTheme="minorEastAsia" w:eastAsiaTheme="minorEastAsia"/>
          <w:sz w:val="29"/>
          <w:szCs w:val="29"/>
          <w:lang w:eastAsia="zh-CN"/>
        </w:rPr>
      </w:pPr>
      <w:r>
        <w:rPr>
          <w:rFonts w:hint="eastAsia" w:cs="仿宋" w:asciiTheme="minorEastAsia" w:hAnsiTheme="minorEastAsia" w:eastAsiaTheme="minorEastAsia"/>
          <w:sz w:val="29"/>
          <w:szCs w:val="29"/>
          <w:lang w:eastAsia="zh-CN"/>
        </w:rPr>
        <w:t>甲方通过委托国家粮食浙江交易中心通过网上交易方式竞价粮食，乙方通过公开竞价竞得，现依照《中华人民共和国民法典》、《国家粮食浙江交易中心网上竞价交易规则》和当期《交易公告》等有关规定，经甲、乙双方协商，签订本合同如下。</w:t>
      </w:r>
    </w:p>
    <w:p w14:paraId="1AA189D5">
      <w:pPr>
        <w:ind w:firstLine="580" w:firstLineChars="200"/>
        <w:rPr>
          <w:rFonts w:cs="仿宋" w:asciiTheme="minorEastAsia" w:hAnsiTheme="minorEastAsia" w:eastAsiaTheme="minorEastAsia"/>
          <w:sz w:val="29"/>
          <w:szCs w:val="29"/>
          <w:lang w:eastAsia="zh-CN"/>
        </w:rPr>
      </w:pPr>
      <w:r>
        <w:rPr>
          <w:rFonts w:hint="eastAsia" w:cs="仿宋" w:asciiTheme="minorEastAsia" w:hAnsiTheme="minorEastAsia" w:eastAsiaTheme="minorEastAsia"/>
          <w:sz w:val="29"/>
          <w:szCs w:val="29"/>
          <w:lang w:eastAsia="zh-CN"/>
        </w:rPr>
        <w:t>一、标的粮食数量、品种、质量要求。</w:t>
      </w:r>
    </w:p>
    <w:p w14:paraId="2028F17C">
      <w:pPr>
        <w:ind w:firstLine="580" w:firstLineChars="200"/>
        <w:rPr>
          <w:rFonts w:cs="仿宋" w:asciiTheme="minorEastAsia" w:hAnsiTheme="minorEastAsia" w:eastAsiaTheme="minorEastAsia"/>
          <w:sz w:val="29"/>
          <w:szCs w:val="29"/>
          <w:lang w:eastAsia="zh-CN"/>
        </w:rPr>
      </w:pPr>
      <w:r>
        <w:rPr>
          <w:rFonts w:hint="eastAsia" w:cs="仿宋" w:asciiTheme="minorEastAsia" w:hAnsiTheme="minorEastAsia" w:eastAsiaTheme="minorEastAsia"/>
          <w:sz w:val="29"/>
          <w:szCs w:val="29"/>
          <w:lang w:eastAsia="zh-CN"/>
        </w:rPr>
        <w:t>粮食数量：此次竞价优质稻谷为2025年镇海区本地生产的稻谷，品种为“甬优1540”约4000吨（具体以实际收购量为准），质量要求：符合GB1350-2009三等及以上标准；符合GB2762-2017食品安全国家标准。</w:t>
      </w:r>
    </w:p>
    <w:p w14:paraId="6BA29CA3">
      <w:pPr>
        <w:ind w:firstLine="580" w:firstLineChars="200"/>
        <w:rPr>
          <w:rFonts w:cs="仿宋" w:asciiTheme="minorEastAsia" w:hAnsiTheme="minorEastAsia" w:eastAsiaTheme="minorEastAsia"/>
          <w:sz w:val="29"/>
          <w:szCs w:val="29"/>
          <w:lang w:eastAsia="zh-CN"/>
        </w:rPr>
      </w:pPr>
      <w:r>
        <w:rPr>
          <w:rFonts w:hint="eastAsia" w:cs="仿宋" w:asciiTheme="minorEastAsia" w:hAnsiTheme="minorEastAsia" w:eastAsiaTheme="minorEastAsia"/>
          <w:sz w:val="29"/>
          <w:szCs w:val="29"/>
          <w:lang w:eastAsia="zh-CN"/>
        </w:rPr>
        <w:t>二、粮食收购入库。</w:t>
      </w:r>
    </w:p>
    <w:p w14:paraId="7AFBDAC8">
      <w:pPr>
        <w:spacing w:line="580" w:lineRule="exact"/>
        <w:ind w:firstLine="580" w:firstLineChars="200"/>
        <w:rPr>
          <w:rFonts w:cs="仿宋" w:asciiTheme="minorEastAsia" w:hAnsiTheme="minorEastAsia" w:eastAsiaTheme="minorEastAsia"/>
          <w:sz w:val="29"/>
          <w:szCs w:val="29"/>
          <w:lang w:eastAsia="zh-CN"/>
        </w:rPr>
      </w:pPr>
      <w:r>
        <w:rPr>
          <w:rFonts w:hint="eastAsia" w:cs="仿宋" w:asciiTheme="minorEastAsia" w:hAnsiTheme="minorEastAsia" w:eastAsiaTheme="minorEastAsia"/>
          <w:sz w:val="29"/>
          <w:szCs w:val="29"/>
          <w:lang w:eastAsia="zh-CN"/>
        </w:rPr>
        <w:t>1、甲方负责“五优联动”优质晚稻的订单落实、组织收购、货款结算、质量检测、数据统计、预购定金发放等工作，并对储存粮食数量、质量及储存安全负责。</w:t>
      </w:r>
    </w:p>
    <w:p w14:paraId="4D24BAE0">
      <w:pPr>
        <w:ind w:firstLine="580" w:firstLineChars="200"/>
        <w:rPr>
          <w:rFonts w:cs="仿宋" w:asciiTheme="minorEastAsia" w:hAnsiTheme="minorEastAsia" w:eastAsiaTheme="minorEastAsia"/>
          <w:sz w:val="29"/>
          <w:szCs w:val="29"/>
          <w:lang w:eastAsia="zh-CN"/>
        </w:rPr>
      </w:pPr>
      <w:r>
        <w:rPr>
          <w:rFonts w:hint="eastAsia" w:cs="仿宋" w:asciiTheme="minorEastAsia" w:hAnsiTheme="minorEastAsia" w:eastAsiaTheme="minorEastAsia"/>
          <w:sz w:val="29"/>
          <w:szCs w:val="29"/>
          <w:lang w:eastAsia="zh-CN"/>
        </w:rPr>
        <w:t>2、乙方</w:t>
      </w:r>
      <w:r>
        <w:rPr>
          <w:rFonts w:hint="eastAsia" w:cs="仿宋" w:asciiTheme="minorEastAsia" w:hAnsiTheme="minorEastAsia" w:eastAsiaTheme="minorEastAsia"/>
          <w:sz w:val="29"/>
          <w:szCs w:val="29"/>
          <w:lang w:val="zh-TW" w:eastAsia="zh-CN" w:bidi="zh-TW"/>
        </w:rPr>
        <w:t>根据《</w:t>
      </w:r>
      <w:r>
        <w:rPr>
          <w:rFonts w:hint="eastAsia" w:cs="仿宋" w:asciiTheme="minorEastAsia" w:hAnsiTheme="minorEastAsia" w:eastAsiaTheme="minorEastAsia"/>
          <w:sz w:val="29"/>
          <w:szCs w:val="29"/>
          <w:lang w:eastAsia="zh-CN"/>
        </w:rPr>
        <w:t>镇海区2025年度“五优联动”工作实施方案</w:t>
      </w:r>
      <w:r>
        <w:rPr>
          <w:rFonts w:hint="eastAsia" w:cs="仿宋" w:asciiTheme="minorEastAsia" w:hAnsiTheme="minorEastAsia" w:eastAsiaTheme="minorEastAsia"/>
          <w:sz w:val="29"/>
          <w:szCs w:val="29"/>
          <w:lang w:val="zh-TW" w:eastAsia="zh-CN" w:bidi="zh-TW"/>
        </w:rPr>
        <w:t>》，协助甲方做好收购工作，与甲方共同做好品种鉴定及品质把关。</w:t>
      </w:r>
    </w:p>
    <w:p w14:paraId="0020385D">
      <w:pPr>
        <w:ind w:firstLine="580" w:firstLineChars="200"/>
        <w:rPr>
          <w:rFonts w:cs="仿宋" w:asciiTheme="minorEastAsia" w:hAnsiTheme="minorEastAsia" w:eastAsiaTheme="minorEastAsia"/>
          <w:sz w:val="29"/>
          <w:szCs w:val="29"/>
          <w:lang w:eastAsia="zh-CN"/>
        </w:rPr>
      </w:pPr>
      <w:r>
        <w:rPr>
          <w:rFonts w:hint="eastAsia" w:cs="仿宋" w:asciiTheme="minorEastAsia" w:hAnsiTheme="minorEastAsia" w:eastAsiaTheme="minorEastAsia"/>
          <w:sz w:val="29"/>
          <w:szCs w:val="29"/>
          <w:lang w:eastAsia="zh-CN"/>
        </w:rPr>
        <w:t>三、粮食储存保管。</w:t>
      </w:r>
    </w:p>
    <w:p w14:paraId="334EC69F">
      <w:pPr>
        <w:ind w:firstLine="580" w:firstLineChars="200"/>
        <w:rPr>
          <w:rFonts w:cs="仿宋" w:asciiTheme="minorEastAsia" w:hAnsiTheme="minorEastAsia" w:eastAsiaTheme="minorEastAsia"/>
          <w:sz w:val="29"/>
          <w:szCs w:val="29"/>
          <w:lang w:eastAsia="zh-CN"/>
        </w:rPr>
      </w:pPr>
      <w:r>
        <w:rPr>
          <w:rFonts w:hint="eastAsia" w:cs="仿宋" w:asciiTheme="minorEastAsia" w:hAnsiTheme="minorEastAsia" w:eastAsiaTheme="minorEastAsia"/>
          <w:sz w:val="29"/>
          <w:szCs w:val="29"/>
          <w:lang w:eastAsia="zh-CN"/>
        </w:rPr>
        <w:t>收购结束后粮权属甲方，甲方应按照《粮油储藏技术规范》等做好仓储管理工作，积极运用准低温储粮等绿色储粮手段，延缓品质陈化。</w:t>
      </w:r>
    </w:p>
    <w:p w14:paraId="562D3D73">
      <w:pPr>
        <w:ind w:firstLine="580" w:firstLineChars="200"/>
        <w:rPr>
          <w:rFonts w:cs="仿宋" w:asciiTheme="minorEastAsia" w:hAnsiTheme="minorEastAsia" w:eastAsiaTheme="minorEastAsia"/>
          <w:sz w:val="29"/>
          <w:szCs w:val="29"/>
          <w:lang w:eastAsia="zh-CN"/>
        </w:rPr>
      </w:pPr>
      <w:r>
        <w:rPr>
          <w:rFonts w:hint="eastAsia" w:cs="仿宋" w:asciiTheme="minorEastAsia" w:hAnsiTheme="minorEastAsia" w:eastAsiaTheme="minorEastAsia"/>
          <w:sz w:val="29"/>
          <w:szCs w:val="29"/>
          <w:lang w:eastAsia="zh-CN"/>
        </w:rPr>
        <w:t>四、粮食销售。</w:t>
      </w:r>
    </w:p>
    <w:p w14:paraId="6A8DF6D2">
      <w:pPr>
        <w:ind w:firstLine="580" w:firstLineChars="200"/>
        <w:rPr>
          <w:rFonts w:cs="仿宋" w:asciiTheme="minorEastAsia" w:hAnsiTheme="minorEastAsia" w:eastAsiaTheme="minorEastAsia"/>
          <w:sz w:val="29"/>
          <w:szCs w:val="29"/>
          <w:lang w:eastAsia="zh-CN"/>
        </w:rPr>
      </w:pPr>
      <w:r>
        <w:rPr>
          <w:rFonts w:hint="eastAsia" w:cs="仿宋" w:asciiTheme="minorEastAsia" w:hAnsiTheme="minorEastAsia" w:eastAsiaTheme="minorEastAsia"/>
          <w:sz w:val="29"/>
          <w:szCs w:val="29"/>
          <w:lang w:eastAsia="zh-CN"/>
        </w:rPr>
        <w:t>1、实行按计划轮换出库。在粮食市场行情正常情况下，乙方需向甲方提出用粮计划，出库具体时间由乙方根据市场情况自行决定，提货期限：</w:t>
      </w:r>
      <w:bookmarkStart w:id="0" w:name="OLE_LINK2"/>
      <w:r>
        <w:rPr>
          <w:rFonts w:hint="eastAsia" w:cs="仿宋" w:asciiTheme="minorEastAsia" w:hAnsiTheme="minorEastAsia" w:eastAsiaTheme="minorEastAsia"/>
          <w:sz w:val="29"/>
          <w:szCs w:val="29"/>
          <w:lang w:eastAsia="zh-CN"/>
        </w:rPr>
        <w:t>20</w:t>
      </w:r>
      <w:r>
        <w:rPr>
          <w:rFonts w:hint="eastAsia" w:cs="仿宋" w:asciiTheme="minorEastAsia" w:hAnsiTheme="minorEastAsia" w:eastAsiaTheme="minorEastAsia"/>
          <w:sz w:val="29"/>
          <w:szCs w:val="29"/>
          <w:lang w:val="en-US" w:eastAsia="zh-CN"/>
        </w:rPr>
        <w:t>26</w:t>
      </w:r>
      <w:r>
        <w:rPr>
          <w:rFonts w:hint="eastAsia" w:cs="仿宋" w:asciiTheme="minorEastAsia" w:hAnsiTheme="minorEastAsia" w:eastAsiaTheme="minorEastAsia"/>
          <w:sz w:val="29"/>
          <w:szCs w:val="29"/>
          <w:lang w:eastAsia="zh-CN"/>
        </w:rPr>
        <w:t>年8月1日至20</w:t>
      </w:r>
      <w:r>
        <w:rPr>
          <w:rFonts w:hint="eastAsia" w:cs="仿宋" w:asciiTheme="minorEastAsia" w:hAnsiTheme="minorEastAsia" w:eastAsiaTheme="minorEastAsia"/>
          <w:sz w:val="29"/>
          <w:szCs w:val="29"/>
          <w:lang w:val="en-US" w:eastAsia="zh-CN"/>
        </w:rPr>
        <w:t>26</w:t>
      </w:r>
      <w:r>
        <w:rPr>
          <w:rFonts w:hint="eastAsia" w:cs="仿宋" w:asciiTheme="minorEastAsia" w:hAnsiTheme="minorEastAsia" w:eastAsiaTheme="minorEastAsia"/>
          <w:sz w:val="29"/>
          <w:szCs w:val="29"/>
          <w:lang w:eastAsia="zh-CN"/>
        </w:rPr>
        <w:t>年9月</w:t>
      </w:r>
      <w:r>
        <w:rPr>
          <w:rFonts w:hint="default" w:cs="仿宋" w:asciiTheme="minorEastAsia" w:hAnsiTheme="minorEastAsia" w:eastAsiaTheme="minorEastAsia"/>
          <w:sz w:val="29"/>
          <w:szCs w:val="29"/>
          <w:lang w:eastAsia="zh-CN"/>
        </w:rPr>
        <w:t>25</w:t>
      </w:r>
      <w:r>
        <w:rPr>
          <w:rFonts w:hint="eastAsia" w:cs="仿宋" w:asciiTheme="minorEastAsia" w:hAnsiTheme="minorEastAsia" w:eastAsiaTheme="minorEastAsia"/>
          <w:sz w:val="29"/>
          <w:szCs w:val="29"/>
          <w:lang w:eastAsia="zh-CN"/>
        </w:rPr>
        <w:t>日止</w:t>
      </w:r>
      <w:r>
        <w:rPr>
          <w:rFonts w:hint="default" w:cs="仿宋" w:asciiTheme="minorEastAsia" w:hAnsiTheme="minorEastAsia" w:eastAsiaTheme="minorEastAsia"/>
          <w:sz w:val="29"/>
          <w:szCs w:val="29"/>
          <w:lang w:eastAsia="zh-CN"/>
        </w:rPr>
        <w:t>（</w:t>
      </w:r>
      <w:r>
        <w:rPr>
          <w:rFonts w:hint="eastAsia" w:cs="仿宋" w:asciiTheme="minorEastAsia" w:hAnsiTheme="minorEastAsia" w:eastAsiaTheme="minorEastAsia"/>
          <w:sz w:val="29"/>
          <w:szCs w:val="29"/>
          <w:lang w:val="en-US" w:eastAsia="zh-CN"/>
        </w:rPr>
        <w:t>工作日</w:t>
      </w:r>
      <w:r>
        <w:rPr>
          <w:rFonts w:hint="default" w:cs="仿宋" w:asciiTheme="minorEastAsia" w:hAnsiTheme="minorEastAsia" w:eastAsiaTheme="minorEastAsia"/>
          <w:sz w:val="29"/>
          <w:szCs w:val="29"/>
          <w:lang w:eastAsia="zh-CN"/>
        </w:rPr>
        <w:t>安排出库工作）</w:t>
      </w:r>
      <w:r>
        <w:rPr>
          <w:rFonts w:hint="eastAsia" w:cs="仿宋" w:asciiTheme="minorEastAsia" w:hAnsiTheme="minorEastAsia" w:eastAsiaTheme="minorEastAsia"/>
          <w:sz w:val="29"/>
          <w:szCs w:val="29"/>
          <w:lang w:eastAsia="zh-CN"/>
        </w:rPr>
        <w:t>，</w:t>
      </w:r>
      <w:bookmarkStart w:id="1" w:name="OLE_LINK4"/>
      <w:r>
        <w:rPr>
          <w:rFonts w:hint="eastAsia" w:cs="仿宋" w:asciiTheme="minorEastAsia" w:hAnsiTheme="minorEastAsia" w:eastAsiaTheme="minorEastAsia"/>
          <w:sz w:val="29"/>
          <w:szCs w:val="29"/>
          <w:lang w:eastAsia="zh-CN"/>
        </w:rPr>
        <w:t>货</w:t>
      </w:r>
      <w:bookmarkStart w:id="2" w:name="OLE_LINK3"/>
      <w:r>
        <w:rPr>
          <w:rFonts w:hint="eastAsia" w:cs="仿宋" w:asciiTheme="minorEastAsia" w:hAnsiTheme="minorEastAsia" w:eastAsiaTheme="minorEastAsia"/>
          <w:sz w:val="29"/>
          <w:szCs w:val="29"/>
          <w:lang w:eastAsia="zh-CN"/>
        </w:rPr>
        <w:t>款支付截止时间为202</w:t>
      </w:r>
      <w:r>
        <w:rPr>
          <w:rFonts w:hint="eastAsia" w:cs="仿宋" w:asciiTheme="minorEastAsia" w:hAnsiTheme="minorEastAsia" w:eastAsiaTheme="minorEastAsia"/>
          <w:sz w:val="29"/>
          <w:szCs w:val="29"/>
          <w:lang w:val="en-US" w:eastAsia="zh-CN"/>
        </w:rPr>
        <w:t>6</w:t>
      </w:r>
      <w:r>
        <w:rPr>
          <w:rFonts w:hint="eastAsia" w:cs="仿宋" w:asciiTheme="minorEastAsia" w:hAnsiTheme="minorEastAsia" w:eastAsiaTheme="minorEastAsia"/>
          <w:sz w:val="29"/>
          <w:szCs w:val="29"/>
          <w:lang w:eastAsia="zh-CN"/>
        </w:rPr>
        <w:t>年8月</w:t>
      </w:r>
      <w:r>
        <w:rPr>
          <w:rFonts w:hint="default" w:cs="仿宋" w:asciiTheme="minorEastAsia" w:hAnsiTheme="minorEastAsia" w:eastAsiaTheme="minorEastAsia"/>
          <w:sz w:val="29"/>
          <w:szCs w:val="29"/>
          <w:lang w:eastAsia="zh-CN"/>
        </w:rPr>
        <w:t>10</w:t>
      </w:r>
      <w:r>
        <w:rPr>
          <w:rFonts w:hint="eastAsia" w:cs="仿宋" w:asciiTheme="minorEastAsia" w:hAnsiTheme="minorEastAsia" w:eastAsiaTheme="minorEastAsia"/>
          <w:sz w:val="29"/>
          <w:szCs w:val="29"/>
          <w:lang w:eastAsia="zh-CN"/>
        </w:rPr>
        <w:t>日</w:t>
      </w:r>
      <w:bookmarkEnd w:id="0"/>
      <w:bookmarkEnd w:id="1"/>
      <w:r>
        <w:rPr>
          <w:rFonts w:hint="eastAsia" w:cs="仿宋" w:asciiTheme="minorEastAsia" w:hAnsiTheme="minorEastAsia" w:eastAsiaTheme="minorEastAsia"/>
          <w:sz w:val="29"/>
          <w:szCs w:val="29"/>
          <w:lang w:eastAsia="zh-CN"/>
        </w:rPr>
        <w:t>，</w:t>
      </w:r>
      <w:bookmarkEnd w:id="2"/>
      <w:r>
        <w:rPr>
          <w:rFonts w:hint="eastAsia" w:cs="仿宋" w:asciiTheme="minorEastAsia" w:hAnsiTheme="minorEastAsia" w:eastAsiaTheme="minorEastAsia"/>
          <w:sz w:val="29"/>
          <w:szCs w:val="29"/>
          <w:lang w:val="en-US" w:eastAsia="zh-CN"/>
        </w:rPr>
        <w:t>全仓货款到账后提货（</w:t>
      </w:r>
      <w:r>
        <w:rPr>
          <w:rFonts w:hint="eastAsia" w:cs="仿宋" w:asciiTheme="minorEastAsia" w:hAnsiTheme="minorEastAsia" w:eastAsiaTheme="minorEastAsia"/>
          <w:sz w:val="29"/>
          <w:szCs w:val="29"/>
          <w:lang w:eastAsia="zh-CN"/>
        </w:rPr>
        <w:t>一旦开始提货，必须在该仓开仓之日起30</w:t>
      </w:r>
      <w:r>
        <w:rPr>
          <w:rFonts w:hint="eastAsia" w:cs="仿宋" w:asciiTheme="minorEastAsia" w:hAnsiTheme="minorEastAsia" w:eastAsiaTheme="minorEastAsia"/>
          <w:sz w:val="29"/>
          <w:szCs w:val="29"/>
          <w:lang w:eastAsia="zh-CN"/>
        </w:rPr>
        <w:t>天内提清货物）；提货地点:粮食所在地。提货方式：仓库车板散粮提货。粮食出库收取</w:t>
      </w:r>
      <w:r>
        <w:rPr>
          <w:rFonts w:hint="eastAsia" w:cs="仿宋" w:asciiTheme="minorEastAsia" w:hAnsiTheme="minorEastAsia" w:eastAsiaTheme="minorEastAsia"/>
          <w:sz w:val="29"/>
          <w:szCs w:val="29"/>
          <w:lang w:val="en-US" w:eastAsia="zh-CN"/>
        </w:rPr>
        <w:t>20</w:t>
      </w:r>
      <w:r>
        <w:rPr>
          <w:rFonts w:hint="eastAsia" w:cs="仿宋" w:asciiTheme="minorEastAsia" w:hAnsiTheme="minorEastAsia" w:eastAsiaTheme="minorEastAsia"/>
          <w:sz w:val="29"/>
          <w:szCs w:val="29"/>
          <w:lang w:eastAsia="zh-CN"/>
        </w:rPr>
        <w:t>元</w:t>
      </w:r>
      <w:r>
        <w:rPr>
          <w:rFonts w:cs="仿宋" w:asciiTheme="minorEastAsia" w:hAnsiTheme="minorEastAsia" w:eastAsiaTheme="minorEastAsia"/>
          <w:sz w:val="29"/>
          <w:szCs w:val="29"/>
          <w:lang w:eastAsia="zh-CN"/>
        </w:rPr>
        <w:t>/</w:t>
      </w:r>
      <w:r>
        <w:rPr>
          <w:rFonts w:hint="eastAsia" w:cs="仿宋" w:asciiTheme="minorEastAsia" w:hAnsiTheme="minorEastAsia" w:eastAsiaTheme="minorEastAsia"/>
          <w:sz w:val="29"/>
          <w:szCs w:val="29"/>
          <w:lang w:eastAsia="zh-CN"/>
        </w:rPr>
        <w:t>吨的出库费用由乙方承担。</w:t>
      </w:r>
    </w:p>
    <w:p w14:paraId="19868053">
      <w:pPr>
        <w:ind w:firstLine="580" w:firstLineChars="200"/>
        <w:rPr>
          <w:rFonts w:cs="仿宋" w:asciiTheme="minorEastAsia" w:hAnsiTheme="minorEastAsia" w:eastAsiaTheme="minorEastAsia"/>
          <w:sz w:val="29"/>
          <w:szCs w:val="29"/>
          <w:lang w:eastAsia="zh-CN"/>
        </w:rPr>
      </w:pPr>
      <w:r>
        <w:rPr>
          <w:rFonts w:hint="eastAsia" w:cs="仿宋" w:asciiTheme="minorEastAsia" w:hAnsiTheme="minorEastAsia" w:eastAsiaTheme="minorEastAsia"/>
          <w:sz w:val="29"/>
          <w:szCs w:val="29"/>
          <w:lang w:eastAsia="zh-CN"/>
        </w:rPr>
        <w:t>2、货款结算方式：以2025年浙江省晚稻最低收购价为基准，依据第三方质检报告指标计算等级升价和水杂增减量折价后得到的价格为交易基础价格。双方按照各品种优质稻谷的交易基础价格与 “</w:t>
      </w:r>
      <w:bookmarkStart w:id="3" w:name="_GoBack"/>
      <w:bookmarkEnd w:id="3"/>
      <w:r>
        <w:rPr>
          <w:rFonts w:hint="eastAsia" w:cs="仿宋" w:asciiTheme="minorEastAsia" w:hAnsiTheme="minorEastAsia" w:eastAsiaTheme="minorEastAsia"/>
          <w:sz w:val="29"/>
          <w:szCs w:val="29"/>
          <w:lang w:eastAsia="zh-CN"/>
        </w:rPr>
        <w:t>优质加价”（40元/吨）的合计价格进行结算，先付款后提货。</w:t>
      </w:r>
    </w:p>
    <w:p w14:paraId="38CE0477">
      <w:pPr>
        <w:spacing w:line="580" w:lineRule="exact"/>
        <w:ind w:firstLine="580" w:firstLineChars="200"/>
        <w:rPr>
          <w:rFonts w:cs="仿宋" w:asciiTheme="minorEastAsia" w:hAnsiTheme="minorEastAsia" w:eastAsiaTheme="minorEastAsia"/>
          <w:sz w:val="28"/>
          <w:szCs w:val="28"/>
          <w:lang w:eastAsia="zh-CN"/>
        </w:rPr>
      </w:pPr>
      <w:r>
        <w:rPr>
          <w:rFonts w:hint="eastAsia" w:cs="仿宋" w:asciiTheme="minorEastAsia" w:hAnsiTheme="minorEastAsia" w:eastAsiaTheme="minorEastAsia"/>
          <w:sz w:val="29"/>
          <w:szCs w:val="29"/>
          <w:lang w:eastAsia="zh-CN"/>
        </w:rPr>
        <w:t>3、</w:t>
      </w:r>
      <w:r>
        <w:rPr>
          <w:rFonts w:hint="eastAsia" w:cs="仿宋" w:asciiTheme="minorEastAsia" w:hAnsiTheme="minorEastAsia" w:eastAsiaTheme="minorEastAsia"/>
          <w:sz w:val="29"/>
          <w:szCs w:val="29"/>
          <w:lang w:val="zh-TW" w:eastAsia="zh-CN" w:bidi="zh-TW"/>
        </w:rPr>
        <w:t>粮食在收购和保管环节出现的损失损耗由甲方承担。出库质量检验和计量以甲方检斤验质为准。</w:t>
      </w:r>
      <w:r>
        <w:rPr>
          <w:rFonts w:hint="eastAsia" w:cs="仿宋" w:asciiTheme="minorEastAsia" w:hAnsiTheme="minorEastAsia" w:eastAsiaTheme="minorEastAsia"/>
          <w:sz w:val="29"/>
          <w:szCs w:val="29"/>
          <w:lang w:eastAsia="zh-CN"/>
        </w:rPr>
        <w:t>如发生质量争议的检验，检</w:t>
      </w:r>
      <w:r>
        <w:rPr>
          <w:rFonts w:hint="eastAsia" w:cs="仿宋" w:asciiTheme="minorEastAsia" w:hAnsiTheme="minorEastAsia" w:eastAsiaTheme="minorEastAsia"/>
          <w:sz w:val="28"/>
          <w:szCs w:val="28"/>
          <w:lang w:eastAsia="zh-CN"/>
        </w:rPr>
        <w:t>测费由责任方承担。</w:t>
      </w:r>
    </w:p>
    <w:p w14:paraId="5174A93C">
      <w:pPr>
        <w:ind w:firstLine="580" w:firstLineChars="200"/>
        <w:rPr>
          <w:rFonts w:cs="仿宋" w:asciiTheme="minorEastAsia" w:hAnsiTheme="minorEastAsia" w:eastAsiaTheme="minorEastAsia"/>
          <w:sz w:val="29"/>
          <w:szCs w:val="29"/>
          <w:lang w:eastAsia="zh-CN"/>
        </w:rPr>
      </w:pPr>
      <w:r>
        <w:rPr>
          <w:rFonts w:hint="eastAsia" w:cs="仿宋" w:asciiTheme="minorEastAsia" w:hAnsiTheme="minorEastAsia" w:eastAsiaTheme="minorEastAsia"/>
          <w:sz w:val="29"/>
          <w:szCs w:val="29"/>
          <w:lang w:eastAsia="zh-CN"/>
        </w:rPr>
        <w:t>五、履约定金支付方式。</w:t>
      </w:r>
    </w:p>
    <w:p w14:paraId="3A010AE6">
      <w:pPr>
        <w:ind w:firstLine="580" w:firstLineChars="200"/>
        <w:rPr>
          <w:rFonts w:cs="仿宋" w:asciiTheme="minorEastAsia" w:hAnsiTheme="minorEastAsia" w:eastAsiaTheme="minorEastAsia"/>
          <w:sz w:val="29"/>
          <w:szCs w:val="29"/>
          <w:lang w:eastAsia="zh-CN"/>
        </w:rPr>
      </w:pPr>
      <w:r>
        <w:rPr>
          <w:rFonts w:hint="eastAsia" w:cs="仿宋" w:asciiTheme="minorEastAsia" w:hAnsiTheme="minorEastAsia" w:eastAsiaTheme="minorEastAsia"/>
          <w:sz w:val="29"/>
          <w:szCs w:val="29"/>
          <w:lang w:eastAsia="zh-CN"/>
        </w:rPr>
        <w:t>乙方签订合同后5个工作日内按每吨200元支付甲方履约定金。收购结束后根据实际数量，多退少补，不计息。完成轮换销售后，无特殊情况5个工作日内返还乙方，不计息。</w:t>
      </w:r>
    </w:p>
    <w:p w14:paraId="636CAB34">
      <w:pPr>
        <w:ind w:firstLine="580" w:firstLineChars="200"/>
        <w:rPr>
          <w:rFonts w:cs="仿宋" w:asciiTheme="minorEastAsia" w:hAnsiTheme="minorEastAsia" w:eastAsiaTheme="minorEastAsia"/>
          <w:sz w:val="29"/>
          <w:szCs w:val="29"/>
          <w:lang w:eastAsia="zh-CN"/>
        </w:rPr>
      </w:pPr>
      <w:r>
        <w:rPr>
          <w:rFonts w:hint="eastAsia" w:cs="仿宋" w:asciiTheme="minorEastAsia" w:hAnsiTheme="minorEastAsia" w:eastAsiaTheme="minorEastAsia"/>
          <w:sz w:val="29"/>
          <w:szCs w:val="29"/>
          <w:lang w:eastAsia="zh-CN"/>
        </w:rPr>
        <w:t>六、其他事项：如发生粮食市场波动，当地政府需要调节市场供求，该粮源必须服从政府要求，优质稻谷所有权属于镇海区人民政府，在粮食出库前享有应急动用权，如甲方应急动用优质稻谷，乙方无权干涉，甲方退还动用部分数量的履约保证金，双方不负违约责任。</w:t>
      </w:r>
    </w:p>
    <w:p w14:paraId="2BA15E4C">
      <w:pPr>
        <w:ind w:firstLine="580" w:firstLineChars="200"/>
        <w:rPr>
          <w:rFonts w:cs="仿宋" w:asciiTheme="minorEastAsia" w:hAnsiTheme="minorEastAsia" w:eastAsiaTheme="minorEastAsia"/>
          <w:sz w:val="29"/>
          <w:szCs w:val="29"/>
          <w:lang w:eastAsia="zh-CN"/>
        </w:rPr>
      </w:pPr>
      <w:r>
        <w:rPr>
          <w:rFonts w:hint="eastAsia" w:cs="仿宋" w:asciiTheme="minorEastAsia" w:hAnsiTheme="minorEastAsia" w:eastAsiaTheme="minorEastAsia"/>
          <w:sz w:val="29"/>
          <w:szCs w:val="29"/>
          <w:lang w:eastAsia="zh-CN"/>
        </w:rPr>
        <w:t>七、违约责任：按照当期《交易公告》《中华人民共和国民法典》等及有关规定执行。</w:t>
      </w:r>
    </w:p>
    <w:p w14:paraId="226A8902">
      <w:pPr>
        <w:ind w:firstLine="580" w:firstLineChars="200"/>
        <w:rPr>
          <w:rFonts w:cs="仿宋" w:asciiTheme="minorEastAsia" w:hAnsiTheme="minorEastAsia" w:eastAsiaTheme="minorEastAsia"/>
          <w:sz w:val="29"/>
          <w:szCs w:val="29"/>
          <w:lang w:eastAsia="zh-CN"/>
        </w:rPr>
      </w:pPr>
      <w:r>
        <w:rPr>
          <w:rFonts w:hint="eastAsia" w:cs="仿宋" w:asciiTheme="minorEastAsia" w:hAnsiTheme="minorEastAsia" w:eastAsiaTheme="minorEastAsia"/>
          <w:sz w:val="29"/>
          <w:szCs w:val="29"/>
          <w:lang w:eastAsia="zh-CN"/>
        </w:rPr>
        <w:t>八、如本合同履行过程中产生争议的，由镇海区人民法院管辖。</w:t>
      </w:r>
    </w:p>
    <w:p w14:paraId="3BF081FD">
      <w:pPr>
        <w:ind w:firstLine="580" w:firstLineChars="200"/>
        <w:rPr>
          <w:rFonts w:cs="仿宋" w:asciiTheme="minorEastAsia" w:hAnsiTheme="minorEastAsia" w:eastAsiaTheme="minorEastAsia"/>
          <w:sz w:val="29"/>
          <w:szCs w:val="29"/>
          <w:lang w:eastAsia="zh-CN"/>
        </w:rPr>
      </w:pPr>
      <w:r>
        <w:rPr>
          <w:rFonts w:hint="eastAsia" w:cs="仿宋" w:asciiTheme="minorEastAsia" w:hAnsiTheme="minorEastAsia" w:eastAsiaTheme="minorEastAsia"/>
          <w:sz w:val="29"/>
          <w:szCs w:val="29"/>
          <w:lang w:eastAsia="zh-CN"/>
        </w:rPr>
        <w:t>九、本合同一式6份，甲方5份（其中报区粮食和物资储备局、财政局、农业农村局、农发行各1份），乙方1份。</w:t>
      </w:r>
    </w:p>
    <w:p w14:paraId="60C045AC">
      <w:pPr>
        <w:rPr>
          <w:rFonts w:cs="仿宋" w:asciiTheme="minorEastAsia" w:hAnsiTheme="minorEastAsia" w:eastAsiaTheme="minorEastAsia"/>
          <w:sz w:val="29"/>
          <w:szCs w:val="29"/>
          <w:lang w:eastAsia="zh-CN"/>
        </w:rPr>
      </w:pPr>
    </w:p>
    <w:p w14:paraId="5D4E2D62">
      <w:pPr>
        <w:rPr>
          <w:rFonts w:hint="eastAsia" w:cs="仿宋" w:asciiTheme="minorEastAsia" w:hAnsiTheme="minorEastAsia" w:eastAsiaTheme="minorEastAsia"/>
          <w:sz w:val="29"/>
          <w:szCs w:val="29"/>
          <w:lang w:eastAsia="zh-CN"/>
        </w:rPr>
      </w:pPr>
      <w:r>
        <w:rPr>
          <w:rFonts w:hint="eastAsia" w:cs="仿宋" w:asciiTheme="minorEastAsia" w:hAnsiTheme="minorEastAsia" w:eastAsiaTheme="minorEastAsia"/>
          <w:sz w:val="29"/>
          <w:szCs w:val="29"/>
          <w:lang w:eastAsia="zh-CN"/>
        </w:rPr>
        <w:t>甲方（盖章）：</w:t>
      </w:r>
      <w:r>
        <w:rPr>
          <w:rFonts w:hint="eastAsia" w:cs="仿宋" w:asciiTheme="minorEastAsia" w:hAnsiTheme="minorEastAsia" w:eastAsiaTheme="minorEastAsia"/>
          <w:sz w:val="29"/>
          <w:szCs w:val="29"/>
          <w:lang w:eastAsia="zh-CN"/>
        </w:rPr>
        <w:tab/>
      </w:r>
      <w:r>
        <w:rPr>
          <w:rFonts w:hint="eastAsia" w:cs="仿宋" w:asciiTheme="minorEastAsia" w:hAnsiTheme="minorEastAsia" w:eastAsiaTheme="minorEastAsia"/>
          <w:sz w:val="29"/>
          <w:szCs w:val="29"/>
          <w:lang w:eastAsia="zh-CN"/>
        </w:rPr>
        <w:t xml:space="preserve">                       乙方（盖章）:</w:t>
      </w:r>
    </w:p>
    <w:p w14:paraId="7D76464F">
      <w:pPr>
        <w:rPr>
          <w:rFonts w:cs="仿宋" w:asciiTheme="minorEastAsia" w:hAnsiTheme="minorEastAsia" w:eastAsiaTheme="minorEastAsia"/>
          <w:sz w:val="29"/>
          <w:szCs w:val="29"/>
          <w:lang w:eastAsia="zh-CN"/>
        </w:rPr>
      </w:pPr>
    </w:p>
    <w:p w14:paraId="5DAC2EE4">
      <w:pPr>
        <w:rPr>
          <w:rFonts w:hint="eastAsia" w:cs="仿宋" w:asciiTheme="minorEastAsia" w:hAnsiTheme="minorEastAsia" w:eastAsiaTheme="minorEastAsia"/>
          <w:sz w:val="29"/>
          <w:szCs w:val="29"/>
          <w:lang w:eastAsia="zh-CN"/>
        </w:rPr>
      </w:pPr>
      <w:r>
        <w:rPr>
          <w:rFonts w:hint="eastAsia" w:cs="仿宋" w:asciiTheme="minorEastAsia" w:hAnsiTheme="minorEastAsia" w:eastAsiaTheme="minorEastAsia"/>
          <w:sz w:val="29"/>
          <w:szCs w:val="29"/>
          <w:lang w:eastAsia="zh-CN"/>
        </w:rPr>
        <w:t>甲方法人（签字）：</w:t>
      </w:r>
      <w:r>
        <w:rPr>
          <w:rFonts w:hint="eastAsia" w:cs="仿宋" w:asciiTheme="minorEastAsia" w:hAnsiTheme="minorEastAsia" w:eastAsiaTheme="minorEastAsia"/>
          <w:sz w:val="29"/>
          <w:szCs w:val="29"/>
          <w:lang w:eastAsia="zh-CN"/>
        </w:rPr>
        <w:tab/>
      </w:r>
      <w:r>
        <w:rPr>
          <w:rFonts w:hint="eastAsia" w:cs="仿宋" w:asciiTheme="minorEastAsia" w:hAnsiTheme="minorEastAsia" w:eastAsiaTheme="minorEastAsia"/>
          <w:sz w:val="29"/>
          <w:szCs w:val="29"/>
          <w:lang w:eastAsia="zh-CN"/>
        </w:rPr>
        <w:t xml:space="preserve">                 乙方法人（签字）</w:t>
      </w:r>
    </w:p>
    <w:p w14:paraId="080E33F1">
      <w:pPr>
        <w:rPr>
          <w:rFonts w:hint="eastAsia" w:cs="仿宋" w:asciiTheme="minorEastAsia" w:hAnsiTheme="minorEastAsia" w:eastAsiaTheme="minorEastAsia"/>
          <w:sz w:val="29"/>
          <w:szCs w:val="29"/>
          <w:lang w:eastAsia="zh-CN"/>
        </w:rPr>
      </w:pPr>
    </w:p>
    <w:p w14:paraId="4DAB8552">
      <w:pPr>
        <w:ind w:firstLine="5655" w:firstLineChars="1950"/>
        <w:rPr>
          <w:rFonts w:cs="仿宋" w:asciiTheme="minorEastAsia" w:hAnsiTheme="minorEastAsia" w:eastAsiaTheme="minorEastAsia"/>
          <w:sz w:val="29"/>
          <w:szCs w:val="29"/>
          <w:lang w:eastAsia="zh-CN"/>
        </w:rPr>
      </w:pPr>
      <w:r>
        <w:rPr>
          <w:rFonts w:hint="eastAsia" w:cs="仿宋" w:asciiTheme="minorEastAsia" w:hAnsiTheme="minorEastAsia" w:eastAsiaTheme="minorEastAsia"/>
          <w:sz w:val="29"/>
          <w:szCs w:val="29"/>
          <w:lang w:eastAsia="zh-CN"/>
        </w:rPr>
        <w:t xml:space="preserve">年    月   日                      </w:t>
      </w:r>
    </w:p>
    <w:sectPr>
      <w:footerReference r:id="rId3" w:type="default"/>
      <w:type w:val="continuous"/>
      <w:pgSz w:w="11906" w:h="16838"/>
      <w:pgMar w:top="1247" w:right="1588" w:bottom="1247" w:left="1588" w:header="851" w:footer="992" w:gutter="0"/>
      <w:cols w:space="425" w:num="1"/>
      <w:docGrid w:type="lines"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C34412">
    <w:pPr>
      <w:pStyle w:val="4"/>
      <w:rPr>
        <w:sz w:val="16"/>
        <w:szCs w:val="16"/>
      </w:rPr>
    </w:pPr>
    <w:r>
      <w:rPr>
        <w:sz w:val="16"/>
        <w:szCs w:val="16"/>
      </w:rPr>
      <w:pict>
        <v:shape id="_x0000_s1027" o:spid="_x0000_s1027"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ZTTZkyAgAAYw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5lNNmTICAABjBAAADgAAAAAAAAABACAAAAAfAQAAZHJzL2Uyb0RvYy54bWxQSwUG&#10;AAAAAAYABgBZAQAAwwUAAAAA&#10;">
          <v:path/>
          <v:fill on="f" focussize="0,0"/>
          <v:stroke on="f" weight="0.5pt" joinstyle="miter"/>
          <v:imagedata o:title=""/>
          <o:lock v:ext="edit"/>
          <v:textbox inset="0mm,0mm,0mm,0mm" style="mso-fit-shape-to-text:t;">
            <w:txbxContent>
              <w:p w14:paraId="7D3553C2">
                <w:pPr>
                  <w:pStyle w:val="4"/>
                  <w:rPr>
                    <w:sz w:val="16"/>
                    <w:szCs w:val="16"/>
                  </w:rPr>
                </w:pPr>
                <w:r>
                  <w:rPr>
                    <w:sz w:val="16"/>
                    <w:szCs w:val="16"/>
                  </w:rPr>
                  <w:fldChar w:fldCharType="begin"/>
                </w:r>
                <w:r>
                  <w:rPr>
                    <w:sz w:val="16"/>
                    <w:szCs w:val="16"/>
                  </w:rPr>
                  <w:instrText xml:space="preserve"> PAGE  \* MERGEFORMAT </w:instrText>
                </w:r>
                <w:r>
                  <w:rPr>
                    <w:sz w:val="16"/>
                    <w:szCs w:val="16"/>
                  </w:rPr>
                  <w:fldChar w:fldCharType="separate"/>
                </w:r>
                <w:r>
                  <w:rPr>
                    <w:sz w:val="16"/>
                    <w:szCs w:val="16"/>
                  </w:rPr>
                  <w:t>3</w:t>
                </w:r>
                <w:r>
                  <w:rPr>
                    <w:sz w:val="16"/>
                    <w:szCs w:val="16"/>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HorizontalSpacing w:val="120"/>
  <w:drawingGridVerticalSpacing w:val="163"/>
  <w:displayHorizontalDrawingGridEvery w:val="2"/>
  <w:displayVerticalDrawingGridEvery w:val="2"/>
  <w:noPunctuationKerning w:val="1"/>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OThjZTM1MGFjMTc5OWJiMGY2ODMwM2QxMjZjMDdmODkifQ=="/>
  </w:docVars>
  <w:rsids>
    <w:rsidRoot w:val="1BBA7C61"/>
    <w:rsid w:val="00046C6D"/>
    <w:rsid w:val="0010709A"/>
    <w:rsid w:val="00125EDF"/>
    <w:rsid w:val="00130BD9"/>
    <w:rsid w:val="00182787"/>
    <w:rsid w:val="001C1C33"/>
    <w:rsid w:val="00226791"/>
    <w:rsid w:val="0026428C"/>
    <w:rsid w:val="00376C2C"/>
    <w:rsid w:val="003A1731"/>
    <w:rsid w:val="00402F35"/>
    <w:rsid w:val="004156CD"/>
    <w:rsid w:val="00437B81"/>
    <w:rsid w:val="004F2BE2"/>
    <w:rsid w:val="00546E78"/>
    <w:rsid w:val="005541B6"/>
    <w:rsid w:val="00564E08"/>
    <w:rsid w:val="00577C75"/>
    <w:rsid w:val="005A4091"/>
    <w:rsid w:val="005B750E"/>
    <w:rsid w:val="005E4C8D"/>
    <w:rsid w:val="005E54A5"/>
    <w:rsid w:val="00616337"/>
    <w:rsid w:val="0062189B"/>
    <w:rsid w:val="006A3B24"/>
    <w:rsid w:val="00743F0C"/>
    <w:rsid w:val="007901CE"/>
    <w:rsid w:val="007E40BA"/>
    <w:rsid w:val="0094298B"/>
    <w:rsid w:val="009429A0"/>
    <w:rsid w:val="00975828"/>
    <w:rsid w:val="009B3A15"/>
    <w:rsid w:val="009B7438"/>
    <w:rsid w:val="009E0228"/>
    <w:rsid w:val="00AA405E"/>
    <w:rsid w:val="00AD11E8"/>
    <w:rsid w:val="00AD5E8A"/>
    <w:rsid w:val="00B04CBE"/>
    <w:rsid w:val="00B50C7E"/>
    <w:rsid w:val="00C2632D"/>
    <w:rsid w:val="00C2759B"/>
    <w:rsid w:val="00CD7CD6"/>
    <w:rsid w:val="00D10120"/>
    <w:rsid w:val="00DD4652"/>
    <w:rsid w:val="00E12A79"/>
    <w:rsid w:val="00E21572"/>
    <w:rsid w:val="00E3339B"/>
    <w:rsid w:val="00E464FA"/>
    <w:rsid w:val="00E5500D"/>
    <w:rsid w:val="00EA7493"/>
    <w:rsid w:val="00EC24ED"/>
    <w:rsid w:val="00EE1B05"/>
    <w:rsid w:val="00F02257"/>
    <w:rsid w:val="00F211D1"/>
    <w:rsid w:val="00F608ED"/>
    <w:rsid w:val="00F66BEF"/>
    <w:rsid w:val="0C8D5CEE"/>
    <w:rsid w:val="0E0E2C6B"/>
    <w:rsid w:val="0E6530DE"/>
    <w:rsid w:val="10DD1330"/>
    <w:rsid w:val="17302022"/>
    <w:rsid w:val="18B21CBA"/>
    <w:rsid w:val="19722A75"/>
    <w:rsid w:val="19D07C52"/>
    <w:rsid w:val="1BBA7C61"/>
    <w:rsid w:val="1BCA252D"/>
    <w:rsid w:val="222724D6"/>
    <w:rsid w:val="28D0200C"/>
    <w:rsid w:val="3055296D"/>
    <w:rsid w:val="340C295D"/>
    <w:rsid w:val="39126932"/>
    <w:rsid w:val="3A5435C5"/>
    <w:rsid w:val="3D6B0DA7"/>
    <w:rsid w:val="40DE3B05"/>
    <w:rsid w:val="449511F6"/>
    <w:rsid w:val="450B7580"/>
    <w:rsid w:val="46F96400"/>
    <w:rsid w:val="490C7F41"/>
    <w:rsid w:val="4E79477B"/>
    <w:rsid w:val="528D6AF6"/>
    <w:rsid w:val="54D47C20"/>
    <w:rsid w:val="56714393"/>
    <w:rsid w:val="57B85ED6"/>
    <w:rsid w:val="601C3601"/>
    <w:rsid w:val="60AC40D5"/>
    <w:rsid w:val="6ACF4946"/>
    <w:rsid w:val="6BBE29F0"/>
    <w:rsid w:val="7A007496"/>
    <w:rsid w:val="7E8D29AE"/>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pPr>
    <w:rPr>
      <w:rFonts w:ascii="Times New Roman" w:hAnsi="Times New Roman" w:eastAsia="Times New Roman" w:cs="Times New Roman"/>
      <w:color w:val="000000"/>
      <w:sz w:val="24"/>
      <w:szCs w:val="24"/>
      <w:lang w:val="en-US" w:eastAsia="en-US" w:bidi="en-US"/>
    </w:rPr>
  </w:style>
  <w:style w:type="paragraph" w:styleId="2">
    <w:name w:val="heading 1"/>
    <w:basedOn w:val="1"/>
    <w:next w:val="1"/>
    <w:qFormat/>
    <w:uiPriority w:val="0"/>
    <w:pPr>
      <w:spacing w:beforeAutospacing="1" w:afterAutospacing="1"/>
      <w:outlineLvl w:val="0"/>
    </w:pPr>
    <w:rPr>
      <w:rFonts w:hint="eastAsia" w:ascii="宋体" w:hAnsi="宋体" w:eastAsia="宋体"/>
      <w:b/>
      <w:bCs/>
      <w:kern w:val="44"/>
      <w:sz w:val="48"/>
      <w:szCs w:val="48"/>
      <w:lang w:eastAsia="zh-CN" w:bidi="ar-SA"/>
    </w:rPr>
  </w:style>
  <w:style w:type="character" w:default="1" w:styleId="8">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Balloon Text"/>
    <w:basedOn w:val="1"/>
    <w:link w:val="14"/>
    <w:uiPriority w:val="0"/>
    <w:rPr>
      <w:sz w:val="18"/>
      <w:szCs w:val="18"/>
    </w:rPr>
  </w:style>
  <w:style w:type="paragraph" w:styleId="4">
    <w:name w:val="footer"/>
    <w:basedOn w:val="1"/>
    <w:uiPriority w:val="0"/>
    <w:pPr>
      <w:tabs>
        <w:tab w:val="center" w:pos="4153"/>
        <w:tab w:val="right" w:pos="8306"/>
      </w:tabs>
      <w:snapToGrid w:val="0"/>
    </w:pPr>
    <w:rPr>
      <w:sz w:val="18"/>
    </w:rPr>
  </w:style>
  <w:style w:type="paragraph" w:styleId="5">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both"/>
    </w:pPr>
    <w:rPr>
      <w:sz w:val="18"/>
    </w:rPr>
  </w:style>
  <w:style w:type="paragraph" w:styleId="6">
    <w:name w:val="Normal (Web)"/>
    <w:basedOn w:val="1"/>
    <w:qFormat/>
    <w:uiPriority w:val="0"/>
    <w:pPr>
      <w:spacing w:beforeAutospacing="1" w:afterAutospacing="1"/>
    </w:pPr>
    <w:rPr>
      <w:lang w:eastAsia="zh-CN" w:bidi="ar-SA"/>
    </w:rPr>
  </w:style>
  <w:style w:type="paragraph" w:customStyle="1" w:styleId="9">
    <w:name w:val="Heading #2|1"/>
    <w:basedOn w:val="1"/>
    <w:qFormat/>
    <w:uiPriority w:val="0"/>
    <w:pPr>
      <w:jc w:val="center"/>
      <w:outlineLvl w:val="1"/>
    </w:pPr>
    <w:rPr>
      <w:rFonts w:ascii="宋体" w:hAnsi="宋体" w:eastAsia="宋体" w:cs="宋体"/>
      <w:sz w:val="34"/>
      <w:szCs w:val="34"/>
      <w:lang w:val="zh-TW" w:eastAsia="zh-TW" w:bidi="zh-TW"/>
    </w:rPr>
  </w:style>
  <w:style w:type="paragraph" w:customStyle="1" w:styleId="10">
    <w:name w:val="Body text|1"/>
    <w:basedOn w:val="1"/>
    <w:qFormat/>
    <w:uiPriority w:val="0"/>
    <w:pPr>
      <w:spacing w:line="394" w:lineRule="auto"/>
      <w:ind w:firstLine="400"/>
    </w:pPr>
    <w:rPr>
      <w:rFonts w:ascii="宋体" w:hAnsi="宋体" w:eastAsia="宋体" w:cs="宋体"/>
      <w:sz w:val="30"/>
      <w:szCs w:val="30"/>
      <w:lang w:val="zh-TW" w:eastAsia="zh-TW" w:bidi="zh-TW"/>
    </w:rPr>
  </w:style>
  <w:style w:type="paragraph" w:customStyle="1" w:styleId="11">
    <w:name w:val="Heading #1|1"/>
    <w:basedOn w:val="1"/>
    <w:qFormat/>
    <w:uiPriority w:val="0"/>
    <w:pPr>
      <w:spacing w:after="520"/>
      <w:outlineLvl w:val="0"/>
    </w:pPr>
    <w:rPr>
      <w:rFonts w:ascii="宋体" w:hAnsi="宋体" w:eastAsia="宋体" w:cs="宋体"/>
      <w:sz w:val="42"/>
      <w:szCs w:val="42"/>
      <w:lang w:val="zh-TW" w:eastAsia="zh-TW" w:bidi="zh-TW"/>
    </w:rPr>
  </w:style>
  <w:style w:type="paragraph" w:customStyle="1" w:styleId="12">
    <w:name w:val="Other|1"/>
    <w:basedOn w:val="1"/>
    <w:qFormat/>
    <w:uiPriority w:val="0"/>
    <w:pPr>
      <w:spacing w:line="394" w:lineRule="auto"/>
      <w:ind w:firstLine="400"/>
    </w:pPr>
    <w:rPr>
      <w:rFonts w:ascii="宋体" w:hAnsi="宋体" w:eastAsia="宋体" w:cs="宋体"/>
      <w:sz w:val="30"/>
      <w:szCs w:val="30"/>
      <w:lang w:val="zh-TW" w:eastAsia="zh-TW" w:bidi="zh-TW"/>
    </w:rPr>
  </w:style>
  <w:style w:type="paragraph" w:customStyle="1" w:styleId="13">
    <w:name w:val="Table caption|1"/>
    <w:basedOn w:val="1"/>
    <w:qFormat/>
    <w:uiPriority w:val="0"/>
    <w:pPr>
      <w:spacing w:line="566" w:lineRule="exact"/>
      <w:ind w:firstLine="440"/>
    </w:pPr>
    <w:rPr>
      <w:rFonts w:ascii="宋体" w:hAnsi="宋体" w:eastAsia="宋体" w:cs="宋体"/>
      <w:sz w:val="20"/>
      <w:szCs w:val="20"/>
      <w:lang w:val="zh-TW" w:eastAsia="zh-TW" w:bidi="zh-TW"/>
    </w:rPr>
  </w:style>
  <w:style w:type="character" w:customStyle="1" w:styleId="14">
    <w:name w:val="批注框文本 Char"/>
    <w:basedOn w:val="8"/>
    <w:link w:val="3"/>
    <w:uiPriority w:val="0"/>
    <w:rPr>
      <w:rFonts w:eastAsia="Times New Roman"/>
      <w:color w:val="000000"/>
      <w:sz w:val="18"/>
      <w:szCs w:val="18"/>
      <w:lang w:eastAsia="en-US" w:bidi="en-US"/>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54BD313-8797-4C48-A134-3E9691509834}">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3</Pages>
  <Words>1175</Words>
  <Characters>1245</Characters>
  <Lines>9</Lines>
  <Paragraphs>2</Paragraphs>
  <TotalTime>1</TotalTime>
  <ScaleCrop>false</ScaleCrop>
  <LinksUpToDate>false</LinksUpToDate>
  <CharactersWithSpaces>1320</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2022-08-29T02:52:00Z</dcterms:created>
  <dc:creator>1⃣5⃣0⃣3⃣2⃣0⃣</dc:creator>
  <cp:lastModifiedBy>大众</cp:lastModifiedBy>
  <cp:lastPrinted>2023-09-15T07:52:00Z</cp:lastPrinted>
  <dcterms:modified xsi:type="dcterms:W3CDTF">2025-10-14T06:50:29Z</dcterms:modified>
  <cp:revision>30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F8B2F46D28364B03B3E24B9EBC10BD09</vt:lpwstr>
  </property>
  <property fmtid="{D5CDD505-2E9C-101B-9397-08002B2CF9AE}" pid="4" name="KSOTemplateDocerSaveRecord">
    <vt:lpwstr>eyJoZGlkIjoiNGExZGJmYmQwYThjOTUyZDU5YjUwYWEwNzBhZjNjYzMiLCJ1c2VySWQiOiIxMDE3MjIxOTIxIn0=</vt:lpwstr>
  </property>
</Properties>
</file>