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35E66CC8">
      <w:pPr>
        <w:spacing w:line="420" w:lineRule="exact"/>
        <w:ind w:firstLine="6660" w:firstLineChars="3700"/>
        <w:rPr>
          <w:rStyle w:val="8"/>
          <w:rFonts w:hint="default" w:ascii="宋体" w:hAnsi="宋体" w:eastAsia="宋体" w:cs="宋体"/>
          <w:sz w:val="18"/>
          <w:szCs w:val="18"/>
          <w:lang w:val="en-US" w:eastAsia="zh-CN"/>
        </w:rPr>
      </w:pPr>
      <w:r>
        <w:rPr>
          <w:rStyle w:val="6"/>
          <w:rFonts w:hint="eastAsia" w:ascii="宋体" w:hAnsi="宋体" w:cs="宋体"/>
          <w:b w:val="0"/>
          <w:bCs w:val="0"/>
          <w:sz w:val="18"/>
          <w:szCs w:val="18"/>
        </w:rPr>
        <w:t>合同编号：</w:t>
      </w:r>
      <w:r>
        <w:rPr>
          <w:rStyle w:val="6"/>
          <w:rFonts w:hint="eastAsia" w:ascii="宋体" w:hAnsi="宋体" w:cs="宋体"/>
          <w:b w:val="0"/>
          <w:bCs w:val="0"/>
          <w:sz w:val="18"/>
          <w:szCs w:val="18"/>
          <w:lang w:val="en-US" w:eastAsia="zh-CN"/>
        </w:rPr>
        <w:t xml:space="preserve">    </w:t>
      </w:r>
      <w:r>
        <w:rPr>
          <w:rStyle w:val="6"/>
          <w:rFonts w:hint="eastAsia" w:ascii="宋体" w:hAnsi="宋体" w:cs="宋体"/>
          <w:b w:val="0"/>
          <w:bCs w:val="0"/>
          <w:sz w:val="18"/>
          <w:szCs w:val="18"/>
        </w:rPr>
        <w:t>年早籼谷</w:t>
      </w:r>
      <w:r>
        <w:rPr>
          <w:rStyle w:val="6"/>
          <w:rFonts w:hint="eastAsia" w:ascii="宋体" w:hAnsi="宋体" w:cs="宋体"/>
          <w:b w:val="0"/>
          <w:bCs w:val="0"/>
          <w:sz w:val="18"/>
          <w:szCs w:val="18"/>
          <w:lang w:eastAsia="zh-CN"/>
        </w:rPr>
        <w:t>销售</w:t>
      </w:r>
    </w:p>
    <w:p w14:paraId="567C72F2">
      <w:pPr>
        <w:spacing w:line="420" w:lineRule="exact"/>
        <w:jc w:val="center"/>
        <w:rPr>
          <w:rFonts w:hint="eastAsia" w:ascii="宋体" w:hAnsi="宋体" w:cs="宋体"/>
          <w:b/>
          <w:sz w:val="40"/>
          <w:szCs w:val="40"/>
        </w:rPr>
      </w:pPr>
      <w:r>
        <w:rPr>
          <w:rFonts w:hint="eastAsia" w:ascii="宋体" w:hAnsi="宋体" w:cs="宋体"/>
          <w:b/>
          <w:sz w:val="40"/>
          <w:szCs w:val="40"/>
        </w:rPr>
        <w:t>粮食购销合同书</w:t>
      </w:r>
    </w:p>
    <w:p w14:paraId="08255D7E">
      <w:pPr>
        <w:spacing w:line="420" w:lineRule="exact"/>
        <w:jc w:val="center"/>
        <w:rPr>
          <w:rFonts w:hint="eastAsia" w:ascii="宋体" w:hAnsi="宋体" w:cs="宋体"/>
          <w:b/>
          <w:sz w:val="18"/>
          <w:szCs w:val="18"/>
        </w:rPr>
      </w:pPr>
    </w:p>
    <w:p w14:paraId="481558C6">
      <w:pPr>
        <w:spacing w:line="420" w:lineRule="exact"/>
        <w:rPr>
          <w:rFonts w:hint="eastAsia" w:ascii="宋体" w:hAnsi="宋体" w:cs="宋体"/>
          <w:bCs/>
          <w:sz w:val="20"/>
          <w:szCs w:val="20"/>
          <w:u w:val="single"/>
        </w:rPr>
      </w:pPr>
      <w:r>
        <w:rPr>
          <w:rFonts w:hint="eastAsia" w:ascii="宋体" w:hAnsi="宋体" w:cs="宋体"/>
          <w:bCs/>
          <w:sz w:val="20"/>
          <w:szCs w:val="20"/>
        </w:rPr>
        <w:t>卖方：</w:t>
      </w:r>
      <w:r>
        <w:rPr>
          <w:rFonts w:hint="eastAsia" w:ascii="宋体" w:hAnsi="宋体" w:cs="宋体"/>
          <w:bCs/>
          <w:sz w:val="20"/>
          <w:szCs w:val="20"/>
          <w:u w:val="single"/>
        </w:rPr>
        <w:t xml:space="preserve"> 绍兴市越城区储备粮管理有限公司 </w:t>
      </w:r>
    </w:p>
    <w:p w14:paraId="593A1A17">
      <w:pPr>
        <w:rPr>
          <w:rFonts w:hint="default" w:ascii="宋体" w:hAnsi="宋体" w:cs="宋体"/>
          <w:bCs/>
          <w:sz w:val="20"/>
          <w:szCs w:val="20"/>
          <w:u w:val="single"/>
        </w:rPr>
      </w:pPr>
      <w:r>
        <w:rPr>
          <w:rFonts w:hint="eastAsia" w:ascii="宋体" w:hAnsi="宋体" w:cs="宋体"/>
          <w:bCs/>
          <w:sz w:val="20"/>
          <w:szCs w:val="20"/>
        </w:rPr>
        <w:t>买方：</w:t>
      </w:r>
      <w:r>
        <w:rPr>
          <w:rFonts w:hint="eastAsia" w:ascii="宋体" w:hAnsi="宋体" w:cs="宋体"/>
          <w:bCs/>
          <w:sz w:val="20"/>
          <w:szCs w:val="20"/>
          <w:u w:val="single"/>
          <w:lang w:val="en-US" w:eastAsia="zh-CN"/>
        </w:rPr>
        <w:t xml:space="preserve">                                </w:t>
      </w:r>
    </w:p>
    <w:p w14:paraId="503F2549">
      <w:pPr>
        <w:spacing w:line="420" w:lineRule="exact"/>
        <w:rPr>
          <w:rFonts w:hint="eastAsia" w:ascii="宋体" w:hAnsi="宋体" w:cs="宋体"/>
          <w:sz w:val="20"/>
          <w:szCs w:val="20"/>
          <w:u w:val="single"/>
        </w:rPr>
      </w:pPr>
    </w:p>
    <w:p w14:paraId="52D81CE4">
      <w:pPr>
        <w:spacing w:line="400" w:lineRule="exact"/>
        <w:ind w:firstLine="400" w:firstLineChars="200"/>
        <w:jc w:val="both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color w:val="000000"/>
          <w:sz w:val="20"/>
          <w:szCs w:val="20"/>
        </w:rPr>
        <w:t>卖方委托</w:t>
      </w:r>
      <w:r>
        <w:rPr>
          <w:rFonts w:hint="eastAsia" w:ascii="宋体" w:hAnsi="宋体" w:cs="宋体"/>
          <w:color w:val="FF0000"/>
          <w:sz w:val="20"/>
          <w:szCs w:val="20"/>
          <w:lang w:eastAsia="zh-CN"/>
        </w:rPr>
        <w:t>国家粮食浙江交易中心</w:t>
      </w:r>
      <w:r>
        <w:rPr>
          <w:rFonts w:hint="eastAsia" w:ascii="宋体" w:hAnsi="宋体" w:cs="宋体"/>
          <w:color w:val="000000"/>
          <w:sz w:val="20"/>
          <w:szCs w:val="20"/>
        </w:rPr>
        <w:t>于</w:t>
      </w:r>
      <w:r>
        <w:rPr>
          <w:rFonts w:hint="eastAsia" w:ascii="宋体" w:hAnsi="宋体" w:cs="宋体"/>
          <w:color w:val="000000"/>
          <w:sz w:val="20"/>
          <w:szCs w:val="20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sz w:val="20"/>
          <w:szCs w:val="20"/>
        </w:rPr>
        <w:t>年</w:t>
      </w:r>
      <w:r>
        <w:rPr>
          <w:rFonts w:hint="eastAsia" w:ascii="宋体" w:hAnsi="宋体" w:cs="宋体"/>
          <w:color w:val="000000"/>
          <w:sz w:val="20"/>
          <w:szCs w:val="20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sz w:val="20"/>
          <w:szCs w:val="20"/>
        </w:rPr>
        <w:t>月</w:t>
      </w:r>
      <w:r>
        <w:rPr>
          <w:rFonts w:hint="eastAsia" w:ascii="宋体" w:hAnsi="宋体" w:cs="宋体"/>
          <w:color w:val="000000"/>
          <w:sz w:val="20"/>
          <w:szCs w:val="20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sz w:val="20"/>
          <w:szCs w:val="20"/>
        </w:rPr>
        <w:t>日在网上公开竞价销售粮食（场次编号为：“</w:t>
      </w:r>
      <w:r>
        <w:rPr>
          <w:rFonts w:hint="eastAsia" w:ascii="宋体" w:hAnsi="宋体" w:cs="宋体"/>
          <w:color w:val="000000"/>
          <w:sz w:val="20"/>
          <w:szCs w:val="20"/>
          <w:lang w:eastAsia="zh-CN"/>
        </w:rPr>
        <w:t>国粮浙交</w:t>
      </w:r>
      <w:r>
        <w:rPr>
          <w:rFonts w:hint="eastAsia" w:ascii="宋体" w:hAnsi="宋体" w:cs="宋体"/>
          <w:color w:val="000000"/>
          <w:sz w:val="20"/>
          <w:szCs w:val="20"/>
          <w:lang w:val="en-US" w:eastAsia="zh-CN"/>
        </w:rPr>
        <w:t xml:space="preserve">  第  号</w:t>
      </w:r>
      <w:r>
        <w:rPr>
          <w:rFonts w:hint="eastAsia" w:ascii="宋体" w:hAnsi="宋体" w:cs="宋体"/>
          <w:color w:val="000000"/>
          <w:sz w:val="20"/>
          <w:szCs w:val="20"/>
        </w:rPr>
        <w:t>”），买方参与竞价交易中标，双方以“竞价交易竞得通知书”为依据实现交易。为明确双方责任，根据《民法典》和</w:t>
      </w:r>
      <w:r>
        <w:rPr>
          <w:rFonts w:hint="eastAsia" w:ascii="宋体" w:hAnsi="宋体" w:cs="宋体"/>
          <w:color w:val="FF0000"/>
          <w:sz w:val="20"/>
          <w:szCs w:val="20"/>
          <w:lang w:eastAsia="zh-CN"/>
        </w:rPr>
        <w:t>国家粮食浙江交易中心</w:t>
      </w:r>
      <w:r>
        <w:rPr>
          <w:rFonts w:hint="eastAsia" w:ascii="宋体" w:hAnsi="宋体" w:cs="宋体"/>
          <w:color w:val="000000"/>
          <w:sz w:val="20"/>
          <w:szCs w:val="20"/>
        </w:rPr>
        <w:t>网上发布的“竞价销售公告”特订立以下合同条款，以资共同遵守。</w:t>
      </w:r>
    </w:p>
    <w:p w14:paraId="3304843D">
      <w:pPr>
        <w:spacing w:line="420" w:lineRule="exact"/>
        <w:ind w:firstLine="400" w:firstLineChars="200"/>
        <w:jc w:val="both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color w:val="000000"/>
          <w:sz w:val="20"/>
          <w:szCs w:val="20"/>
        </w:rPr>
        <w:t>一、销售粮食的品种、提货地点、数量、价格、交易额、产地及生产年份如下表：</w:t>
      </w:r>
    </w:p>
    <w:tbl>
      <w:tblPr>
        <w:tblStyle w:val="4"/>
        <w:tblW w:w="9587" w:type="dxa"/>
        <w:jc w:val="center"/>
        <w:tblLayout w:type="fixed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10"/>
        <w:gridCol w:w="1049"/>
        <w:gridCol w:w="1773"/>
        <w:gridCol w:w="1191"/>
        <w:gridCol w:w="1179"/>
        <w:gridCol w:w="1243"/>
        <w:gridCol w:w="701"/>
        <w:gridCol w:w="658"/>
        <w:gridCol w:w="883"/>
      </w:tblGrid>
      <w:tr w14:paraId="1482B06F">
        <w:trPr>
          <w:trHeight w:val="1050" w:hRule="atLeast"/>
          <w:jc w:val="center"/>
        </w:trPr>
        <w:tc>
          <w:tcPr>
            <w:tcW w:w="9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E3FB330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标的号</w:t>
            </w:r>
          </w:p>
        </w:tc>
        <w:tc>
          <w:tcPr>
            <w:tcW w:w="10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2DFCDB61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品种</w:t>
            </w:r>
          </w:p>
        </w:tc>
        <w:tc>
          <w:tcPr>
            <w:tcW w:w="1773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17B84573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提 货 地 点</w:t>
            </w:r>
          </w:p>
          <w:p w14:paraId="6DEDD540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（仓库）</w:t>
            </w:r>
          </w:p>
        </w:tc>
        <w:tc>
          <w:tcPr>
            <w:tcW w:w="119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A77FDD2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数量 （吨）</w:t>
            </w:r>
          </w:p>
        </w:tc>
        <w:tc>
          <w:tcPr>
            <w:tcW w:w="117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45B58A53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成交单价   （元/吨）</w:t>
            </w:r>
          </w:p>
        </w:tc>
        <w:tc>
          <w:tcPr>
            <w:tcW w:w="12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72ECF876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交易金额（元）</w:t>
            </w:r>
          </w:p>
        </w:tc>
        <w:tc>
          <w:tcPr>
            <w:tcW w:w="7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07D227DE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产地</w:t>
            </w:r>
          </w:p>
        </w:tc>
        <w:tc>
          <w:tcPr>
            <w:tcW w:w="65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48ADC20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生产 年份</w:t>
            </w:r>
          </w:p>
        </w:tc>
        <w:tc>
          <w:tcPr>
            <w:tcW w:w="88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5A05B2A3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</w:p>
          <w:p w14:paraId="7E8454F8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备注</w:t>
            </w:r>
          </w:p>
        </w:tc>
      </w:tr>
      <w:tr w14:paraId="40AD8BB3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39" w:hRule="atLeast"/>
          <w:jc w:val="center"/>
        </w:trPr>
        <w:tc>
          <w:tcPr>
            <w:tcW w:w="910" w:type="dxa"/>
            <w:tcBorders>
              <w:top w:val="single" w:color="auto" w:sz="8" w:space="0"/>
              <w:left w:val="single" w:color="auto" w:sz="8" w:space="0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2F8ECEB2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</w:p>
        </w:tc>
        <w:tc>
          <w:tcPr>
            <w:tcW w:w="104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478E7595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</w:p>
        </w:tc>
        <w:tc>
          <w:tcPr>
            <w:tcW w:w="1773" w:type="dxa"/>
            <w:tcBorders>
              <w:top w:val="single" w:color="auto" w:sz="8" w:space="0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631EA45B">
            <w:pPr>
              <w:tabs>
                <w:tab w:val="center" w:pos="778"/>
              </w:tabs>
              <w:spacing w:line="420" w:lineRule="exact"/>
              <w:ind w:firstLine="400" w:firstLineChars="200"/>
              <w:jc w:val="both"/>
              <w:rPr>
                <w:rFonts w:hint="default" w:ascii="宋体" w:hAnsi="宋体" w:cs="宋体"/>
                <w:sz w:val="20"/>
                <w:szCs w:val="20"/>
                <w:lang w:val="en-US"/>
              </w:rPr>
            </w:pPr>
          </w:p>
        </w:tc>
        <w:tc>
          <w:tcPr>
            <w:tcW w:w="119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1F766CBA">
            <w:pPr>
              <w:spacing w:line="420" w:lineRule="exact"/>
              <w:jc w:val="center"/>
              <w:rPr>
                <w:rFonts w:hint="default" w:ascii="宋体" w:hAnsi="宋体" w:cs="宋体"/>
                <w:sz w:val="20"/>
                <w:szCs w:val="20"/>
                <w:lang w:val="en-US"/>
              </w:rPr>
            </w:pPr>
          </w:p>
        </w:tc>
        <w:tc>
          <w:tcPr>
            <w:tcW w:w="1179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6BAF605B">
            <w:pPr>
              <w:spacing w:line="420" w:lineRule="exact"/>
              <w:jc w:val="center"/>
              <w:rPr>
                <w:rFonts w:ascii="宋体" w:hAnsi="宋体" w:cs="宋体"/>
                <w:sz w:val="20"/>
                <w:szCs w:val="20"/>
              </w:rPr>
            </w:pPr>
          </w:p>
        </w:tc>
        <w:tc>
          <w:tcPr>
            <w:tcW w:w="124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A21E0FC">
            <w:pPr>
              <w:spacing w:line="420" w:lineRule="exact"/>
              <w:jc w:val="center"/>
              <w:rPr>
                <w:rFonts w:hint="default" w:ascii="宋体" w:hAnsi="宋体" w:cs="宋体"/>
                <w:sz w:val="20"/>
                <w:szCs w:val="20"/>
                <w:lang w:val="en-US"/>
              </w:rPr>
            </w:pPr>
          </w:p>
        </w:tc>
        <w:tc>
          <w:tcPr>
            <w:tcW w:w="701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35642800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</w:p>
        </w:tc>
        <w:tc>
          <w:tcPr>
            <w:tcW w:w="658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/>
            <w:vAlign w:val="center"/>
          </w:tcPr>
          <w:p w14:paraId="59815094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</w:p>
        </w:tc>
        <w:tc>
          <w:tcPr>
            <w:tcW w:w="883" w:type="dxa"/>
            <w:tcBorders>
              <w:top w:val="single" w:color="auto" w:sz="8" w:space="0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top"/>
          </w:tcPr>
          <w:p w14:paraId="3850238F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</w:p>
        </w:tc>
      </w:tr>
      <w:tr w14:paraId="620BDBA5"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467" w:hRule="atLeast"/>
          <w:jc w:val="center"/>
        </w:trPr>
        <w:tc>
          <w:tcPr>
            <w:tcW w:w="6102" w:type="dxa"/>
            <w:gridSpan w:val="5"/>
            <w:tcBorders>
              <w:top w:val="nil"/>
              <w:left w:val="single" w:color="auto" w:sz="8" w:space="0"/>
              <w:bottom w:val="single" w:color="auto" w:sz="8" w:space="0"/>
              <w:right w:val="single" w:color="auto" w:sz="4" w:space="0"/>
            </w:tcBorders>
            <w:noWrap/>
            <w:vAlign w:val="center"/>
          </w:tcPr>
          <w:p w14:paraId="17DCDBB1">
            <w:pPr>
              <w:spacing w:line="420" w:lineRule="exact"/>
              <w:jc w:val="both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总交易额（大写）：</w:t>
            </w:r>
          </w:p>
        </w:tc>
        <w:tc>
          <w:tcPr>
            <w:tcW w:w="1243" w:type="dxa"/>
            <w:tcBorders>
              <w:top w:val="nil"/>
              <w:left w:val="single" w:color="auto" w:sz="4" w:space="0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205FCE49">
            <w:pPr>
              <w:spacing w:line="420" w:lineRule="exact"/>
              <w:jc w:val="center"/>
              <w:rPr>
                <w:rFonts w:hint="eastAsia" w:ascii="宋体" w:hAnsi="宋体" w:cs="宋体"/>
                <w:sz w:val="20"/>
                <w:szCs w:val="20"/>
              </w:rPr>
            </w:pPr>
            <w:r>
              <w:rPr>
                <w:rFonts w:hint="eastAsia" w:ascii="宋体" w:hAnsi="宋体" w:cs="宋体"/>
                <w:sz w:val="20"/>
                <w:szCs w:val="20"/>
              </w:rPr>
              <w:t>小写</w:t>
            </w:r>
          </w:p>
        </w:tc>
        <w:tc>
          <w:tcPr>
            <w:tcW w:w="2242" w:type="dxa"/>
            <w:gridSpan w:val="3"/>
            <w:tcBorders>
              <w:top w:val="nil"/>
              <w:left w:val="nil"/>
              <w:bottom w:val="single" w:color="auto" w:sz="8" w:space="0"/>
              <w:right w:val="single" w:color="auto" w:sz="8" w:space="0"/>
            </w:tcBorders>
            <w:noWrap w:val="0"/>
            <w:vAlign w:val="center"/>
          </w:tcPr>
          <w:p w14:paraId="47C52C60">
            <w:pPr>
              <w:spacing w:line="420" w:lineRule="exact"/>
              <w:jc w:val="center"/>
              <w:rPr>
                <w:rFonts w:ascii="宋体" w:hAnsi="宋体" w:cs="宋体"/>
                <w:sz w:val="20"/>
                <w:szCs w:val="20"/>
              </w:rPr>
            </w:pPr>
          </w:p>
        </w:tc>
      </w:tr>
    </w:tbl>
    <w:p w14:paraId="0553D7C0">
      <w:pPr>
        <w:spacing w:line="420" w:lineRule="exact"/>
        <w:ind w:firstLine="400" w:firstLineChars="200"/>
        <w:jc w:val="both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color w:val="000000"/>
          <w:sz w:val="20"/>
          <w:szCs w:val="20"/>
        </w:rPr>
        <w:t>质量指标以标的物实际储存仓库大样为准，即按现状标准。</w:t>
      </w:r>
    </w:p>
    <w:p w14:paraId="6BD3CBC3">
      <w:pPr>
        <w:spacing w:line="420" w:lineRule="exact"/>
        <w:ind w:firstLine="400" w:firstLineChars="200"/>
        <w:jc w:val="both"/>
        <w:rPr>
          <w:rFonts w:hint="eastAsia" w:ascii="宋体" w:hAnsi="宋体" w:cs="宋体"/>
          <w:color w:val="000000"/>
          <w:sz w:val="20"/>
          <w:szCs w:val="20"/>
          <w:u w:val="single"/>
        </w:rPr>
      </w:pPr>
      <w:r>
        <w:rPr>
          <w:rFonts w:hint="eastAsia" w:ascii="宋体" w:hAnsi="宋体" w:cs="宋体"/>
          <w:color w:val="000000"/>
          <w:sz w:val="20"/>
          <w:szCs w:val="20"/>
        </w:rPr>
        <w:t>二、1、交货时间：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eastAsia="zh-CN"/>
        </w:rPr>
        <w:t>标的物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>在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>年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>月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>日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eastAsia="zh-CN"/>
        </w:rPr>
        <w:t>（含当天，下同）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>前提清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eastAsia="zh-CN"/>
        </w:rPr>
        <w:t>（月末最后一天不提货，原则上公休日不提货）。</w:t>
      </w:r>
    </w:p>
    <w:p w14:paraId="037732FA">
      <w:pPr>
        <w:numPr>
          <w:ilvl w:val="0"/>
          <w:numId w:val="1"/>
        </w:numPr>
        <w:spacing w:line="420" w:lineRule="exact"/>
        <w:ind w:firstLine="800" w:firstLineChars="400"/>
        <w:jc w:val="both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color w:val="000000"/>
          <w:sz w:val="20"/>
          <w:szCs w:val="20"/>
        </w:rPr>
        <w:t>交货地点：标的物所在仓库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>（提货前联系：</w:t>
      </w:r>
      <w:r>
        <w:rPr>
          <w:rFonts w:hint="eastAsia" w:ascii="宋体" w:hAnsi="宋体" w:cs="宋体"/>
          <w:bCs/>
          <w:sz w:val="20"/>
          <w:szCs w:val="20"/>
          <w:u w:val="single"/>
          <w:lang w:eastAsia="zh-CN"/>
        </w:rPr>
        <w:t>茹国龙</w:t>
      </w:r>
      <w:r>
        <w:rPr>
          <w:rFonts w:hint="eastAsia" w:ascii="宋体" w:hAnsi="宋体" w:cs="宋体"/>
          <w:bCs/>
          <w:sz w:val="20"/>
          <w:szCs w:val="20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bCs/>
          <w:sz w:val="20"/>
          <w:szCs w:val="20"/>
          <w:u w:val="single"/>
        </w:rPr>
        <w:t>联系电话：</w:t>
      </w:r>
      <w:r>
        <w:rPr>
          <w:rFonts w:hint="eastAsia" w:ascii="宋体" w:hAnsi="宋体" w:cs="宋体"/>
          <w:bCs/>
          <w:sz w:val="20"/>
          <w:szCs w:val="20"/>
          <w:u w:val="single"/>
          <w:lang w:val="en-US" w:eastAsia="zh-CN"/>
        </w:rPr>
        <w:t>0575-85131218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>）；</w:t>
      </w:r>
    </w:p>
    <w:p w14:paraId="6CBA516C">
      <w:pPr>
        <w:spacing w:line="420" w:lineRule="exact"/>
        <w:ind w:firstLine="800" w:firstLineChars="400"/>
        <w:jc w:val="both"/>
        <w:rPr>
          <w:rFonts w:hint="eastAsia" w:ascii="宋体" w:hAnsi="宋体" w:cs="宋体"/>
          <w:color w:val="000000"/>
          <w:sz w:val="20"/>
          <w:szCs w:val="20"/>
          <w:shd w:val="clear" w:color="auto" w:fill="auto"/>
        </w:rPr>
      </w:pPr>
      <w:r>
        <w:rPr>
          <w:rFonts w:hint="eastAsia" w:ascii="宋体" w:hAnsi="宋体" w:cs="宋体"/>
          <w:color w:val="000000"/>
          <w:sz w:val="20"/>
          <w:szCs w:val="20"/>
        </w:rPr>
        <w:t>3、交货方式：买方在提货仓库汽车板</w:t>
      </w:r>
      <w:r>
        <w:rPr>
          <w:rFonts w:hint="eastAsia" w:ascii="宋体" w:hAnsi="宋体" w:cs="宋体"/>
          <w:color w:val="FF0000"/>
          <w:sz w:val="20"/>
          <w:szCs w:val="20"/>
          <w:lang w:eastAsia="zh-CN"/>
        </w:rPr>
        <w:t>（不支持集装箱等厢式车装货）</w:t>
      </w:r>
      <w:r>
        <w:rPr>
          <w:rFonts w:hint="eastAsia" w:ascii="宋体" w:hAnsi="宋体" w:cs="宋体"/>
          <w:color w:val="000000"/>
          <w:sz w:val="20"/>
          <w:szCs w:val="20"/>
        </w:rPr>
        <w:t>散装提货，运输等板后费用由买方承担，提货板前费由卖方承担；逾期提货，卖方不承担标的物发生虫蚀、霉变等质量责任以及其他风险。</w:t>
      </w:r>
      <w:r>
        <w:rPr>
          <w:rFonts w:hint="eastAsia" w:ascii="宋体" w:hAnsi="宋体" w:eastAsia="宋体" w:cs="宋体"/>
          <w:color w:val="FF0000"/>
          <w:sz w:val="20"/>
          <w:szCs w:val="20"/>
          <w:shd w:val="clear" w:color="auto" w:fill="auto"/>
          <w:lang w:eastAsia="zh-CN"/>
        </w:rPr>
        <w:t>装卸、运输人员作业时须做好安全防护措施，不得动用明火，并服从粮库指挥。</w:t>
      </w:r>
    </w:p>
    <w:p w14:paraId="0DD95877">
      <w:pPr>
        <w:spacing w:line="480" w:lineRule="exact"/>
        <w:ind w:firstLine="800" w:firstLineChars="400"/>
        <w:rPr>
          <w:rFonts w:hint="eastAsia" w:ascii="宋体" w:hAnsi="宋体" w:cs="宋体"/>
          <w:sz w:val="20"/>
          <w:szCs w:val="20"/>
        </w:rPr>
      </w:pPr>
      <w:r>
        <w:rPr>
          <w:rFonts w:hint="eastAsia" w:ascii="宋体" w:hAnsi="宋体" w:cs="宋体"/>
          <w:color w:val="000000"/>
          <w:sz w:val="20"/>
          <w:szCs w:val="20"/>
        </w:rPr>
        <w:t>4、数量结算方式：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>数量以提货仓库地磅秤重为准。</w:t>
      </w:r>
    </w:p>
    <w:p w14:paraId="5AE169BF">
      <w:pPr>
        <w:spacing w:line="240" w:lineRule="auto"/>
        <w:ind w:firstLine="0" w:firstLineChars="0"/>
        <w:jc w:val="left"/>
        <w:rPr>
          <w:rStyle w:val="6"/>
          <w:rFonts w:hint="eastAsia" w:ascii="宋体" w:hAnsi="宋体" w:cs="宋体"/>
          <w:b w:val="0"/>
          <w:bCs w:val="0"/>
          <w:color w:val="000000"/>
          <w:sz w:val="20"/>
          <w:szCs w:val="20"/>
          <w:u w:val="single"/>
          <w:shd w:val="clear" w:color="auto" w:fill="FFFFFF"/>
        </w:rPr>
      </w:pPr>
    </w:p>
    <w:p w14:paraId="3BAA4406">
      <w:pPr>
        <w:spacing w:line="360" w:lineRule="auto"/>
        <w:ind w:firstLine="400" w:firstLineChars="200"/>
        <w:rPr>
          <w:rFonts w:ascii="宋体" w:hAnsi="宋体" w:cs="宋体"/>
          <w:color w:val="000000"/>
          <w:sz w:val="20"/>
          <w:u w:val="single"/>
        </w:rPr>
      </w:pPr>
      <w:r>
        <w:rPr>
          <w:rFonts w:hint="eastAsia" w:ascii="宋体" w:hAnsi="宋体" w:cs="宋体"/>
          <w:sz w:val="20"/>
          <w:szCs w:val="20"/>
        </w:rPr>
        <w:t>三、</w:t>
      </w:r>
      <w:r>
        <w:rPr>
          <w:rFonts w:hint="eastAsia" w:ascii="宋体" w:hAnsi="宋体" w:cs="宋体"/>
          <w:color w:val="000000"/>
          <w:sz w:val="20"/>
          <w:szCs w:val="20"/>
        </w:rPr>
        <w:t>结算方式及结算期限。款到后发货。</w:t>
      </w:r>
      <w:r>
        <w:rPr>
          <w:rFonts w:hint="eastAsia" w:ascii="宋体" w:hAnsi="宋体" w:cs="宋体"/>
          <w:color w:val="000000"/>
          <w:sz w:val="20"/>
          <w:u w:val="single"/>
        </w:rPr>
        <w:t>买方应在</w:t>
      </w:r>
      <w:r>
        <w:rPr>
          <w:rFonts w:hint="eastAsia" w:ascii="宋体" w:hAnsi="宋体" w:cs="宋体"/>
          <w:color w:val="000000"/>
          <w:sz w:val="20"/>
          <w:u w:val="single"/>
          <w:lang w:val="en-US" w:eastAsia="zh-CN"/>
        </w:rPr>
        <w:t xml:space="preserve">  </w:t>
      </w:r>
      <w:r>
        <w:rPr>
          <w:rFonts w:hint="eastAsia" w:ascii="宋体" w:hAnsi="宋体" w:cs="宋体"/>
          <w:b/>
          <w:bCs/>
          <w:color w:val="000000"/>
          <w:sz w:val="20"/>
          <w:u w:val="single"/>
        </w:rPr>
        <w:t>年</w:t>
      </w:r>
      <w:r>
        <w:rPr>
          <w:rFonts w:hint="eastAsia" w:ascii="宋体" w:hAnsi="宋体" w:cs="宋体"/>
          <w:b/>
          <w:bCs/>
          <w:color w:val="000000"/>
          <w:sz w:val="20"/>
          <w:u w:val="single"/>
          <w:lang w:val="en-US" w:eastAsia="zh-CN"/>
        </w:rPr>
        <w:t xml:space="preserve">  </w:t>
      </w:r>
      <w:r>
        <w:rPr>
          <w:rFonts w:hint="eastAsia" w:ascii="宋体" w:hAnsi="宋体" w:cs="宋体"/>
          <w:b/>
          <w:bCs/>
          <w:color w:val="000000"/>
          <w:sz w:val="20"/>
          <w:u w:val="single"/>
        </w:rPr>
        <w:t>月</w:t>
      </w:r>
      <w:r>
        <w:rPr>
          <w:rFonts w:hint="eastAsia" w:ascii="宋体" w:hAnsi="宋体" w:cs="宋体"/>
          <w:b/>
          <w:bCs/>
          <w:color w:val="000000"/>
          <w:sz w:val="20"/>
          <w:u w:val="single"/>
          <w:lang w:val="en-US" w:eastAsia="zh-CN"/>
        </w:rPr>
        <w:t xml:space="preserve">  </w:t>
      </w:r>
      <w:r>
        <w:rPr>
          <w:rFonts w:hint="eastAsia" w:ascii="宋体" w:hAnsi="宋体" w:cs="宋体"/>
          <w:b/>
          <w:bCs/>
          <w:color w:val="000000"/>
          <w:sz w:val="20"/>
          <w:u w:val="single"/>
        </w:rPr>
        <w:t>日前向卖方</w:t>
      </w:r>
      <w:r>
        <w:rPr>
          <w:rFonts w:hint="eastAsia" w:ascii="宋体" w:hAnsi="宋体" w:cs="宋体"/>
          <w:b/>
          <w:bCs/>
          <w:color w:val="000000"/>
          <w:sz w:val="20"/>
          <w:u w:val="single"/>
          <w:lang w:eastAsia="zh-CN"/>
        </w:rPr>
        <w:t>一次性</w:t>
      </w:r>
      <w:r>
        <w:rPr>
          <w:rFonts w:hint="eastAsia" w:ascii="宋体" w:hAnsi="宋体" w:cs="宋体"/>
          <w:b/>
          <w:bCs/>
          <w:color w:val="000000"/>
          <w:sz w:val="20"/>
          <w:u w:val="single"/>
        </w:rPr>
        <w:t>支付</w:t>
      </w:r>
      <w:r>
        <w:rPr>
          <w:rFonts w:hint="eastAsia" w:ascii="宋体" w:hAnsi="宋体" w:cs="宋体"/>
          <w:b/>
          <w:bCs/>
          <w:color w:val="000000"/>
          <w:sz w:val="20"/>
          <w:u w:val="single"/>
          <w:lang w:eastAsia="zh-CN"/>
        </w:rPr>
        <w:t>全部提货款</w:t>
      </w:r>
      <w:r>
        <w:rPr>
          <w:rFonts w:hint="eastAsia" w:ascii="宋体" w:hAnsi="宋体" w:cs="宋体"/>
          <w:b/>
          <w:bCs/>
          <w:color w:val="FF0000"/>
          <w:sz w:val="20"/>
          <w:u w:val="single"/>
          <w:lang w:val="en-US" w:eastAsia="zh-CN"/>
        </w:rPr>
        <w:t>，</w:t>
      </w:r>
      <w:r>
        <w:rPr>
          <w:rFonts w:hint="eastAsia" w:ascii="宋体" w:hAnsi="宋体" w:cs="宋体"/>
          <w:color w:val="000000"/>
          <w:sz w:val="20"/>
          <w:u w:val="single"/>
        </w:rPr>
        <w:t>如</w:t>
      </w:r>
      <w:r>
        <w:rPr>
          <w:rFonts w:hint="eastAsia" w:ascii="宋体" w:hAnsi="宋体" w:cs="宋体"/>
          <w:color w:val="000000"/>
          <w:sz w:val="20"/>
          <w:u w:val="single"/>
          <w:lang w:eastAsia="zh-CN"/>
        </w:rPr>
        <w:t>逾期未</w:t>
      </w:r>
      <w:r>
        <w:rPr>
          <w:rFonts w:hint="eastAsia" w:ascii="宋体" w:hAnsi="宋体" w:cs="宋体"/>
          <w:color w:val="000000"/>
          <w:sz w:val="20"/>
          <w:u w:val="single"/>
        </w:rPr>
        <w:t>付清</w:t>
      </w:r>
      <w:r>
        <w:rPr>
          <w:rFonts w:hint="eastAsia" w:ascii="宋体" w:hAnsi="宋体" w:cs="宋体"/>
          <w:color w:val="000000"/>
          <w:sz w:val="20"/>
          <w:u w:val="single"/>
          <w:lang w:eastAsia="zh-CN"/>
        </w:rPr>
        <w:t>，则从次日起，</w:t>
      </w:r>
      <w:r>
        <w:rPr>
          <w:rFonts w:hint="eastAsia" w:ascii="宋体" w:hAnsi="宋体" w:cs="宋体"/>
          <w:color w:val="000000"/>
          <w:sz w:val="20"/>
          <w:u w:val="single"/>
        </w:rPr>
        <w:t>应以未付货款为基数按日息万分之二向卖方支付利息。</w:t>
      </w:r>
    </w:p>
    <w:p w14:paraId="31EAF36B">
      <w:pPr>
        <w:spacing w:line="400" w:lineRule="exact"/>
        <w:ind w:left="180" w:leftChars="75" w:firstLine="200" w:firstLineChars="100"/>
        <w:jc w:val="both"/>
        <w:rPr>
          <w:rFonts w:hint="eastAsia" w:ascii="宋体" w:hAnsi="宋体" w:cs="宋体"/>
          <w:color w:val="000000"/>
          <w:sz w:val="20"/>
          <w:szCs w:val="20"/>
          <w:u w:val="single"/>
        </w:rPr>
      </w:pPr>
    </w:p>
    <w:p w14:paraId="62120CBC">
      <w:pPr>
        <w:spacing w:line="400" w:lineRule="exact"/>
        <w:ind w:left="180" w:leftChars="75" w:firstLine="200" w:firstLineChars="100"/>
        <w:jc w:val="both"/>
        <w:rPr>
          <w:rFonts w:hint="eastAsia" w:ascii="宋体" w:hAnsi="宋体" w:cs="宋体"/>
          <w:bCs/>
          <w:sz w:val="20"/>
          <w:szCs w:val="20"/>
        </w:rPr>
      </w:pPr>
      <w:r>
        <w:rPr>
          <w:rFonts w:hint="eastAsia" w:ascii="宋体" w:hAnsi="宋体" w:cs="宋体"/>
          <w:color w:val="000000"/>
          <w:sz w:val="20"/>
          <w:szCs w:val="20"/>
        </w:rPr>
        <w:t>四、履约保证金及违约责任。</w:t>
      </w:r>
      <w:r>
        <w:rPr>
          <w:rFonts w:hint="eastAsia" w:ascii="宋体" w:hAnsi="宋体" w:cs="宋体"/>
          <w:sz w:val="20"/>
          <w:szCs w:val="20"/>
        </w:rPr>
        <w:t>为确保合同的履行，买方向</w:t>
      </w:r>
      <w:r>
        <w:rPr>
          <w:rFonts w:hint="eastAsia" w:ascii="宋体" w:hAnsi="宋体" w:cs="宋体"/>
          <w:color w:val="FF0000"/>
          <w:sz w:val="20"/>
          <w:szCs w:val="20"/>
          <w:lang w:eastAsia="zh-CN"/>
        </w:rPr>
        <w:t>国家粮食浙江交易中心</w:t>
      </w:r>
      <w:r>
        <w:rPr>
          <w:rFonts w:hint="eastAsia" w:ascii="宋体" w:hAnsi="宋体" w:cs="宋体"/>
          <w:color w:val="000000"/>
          <w:sz w:val="20"/>
          <w:szCs w:val="20"/>
        </w:rPr>
        <w:t>交纳履约保证金</w:t>
      </w:r>
      <w:r>
        <w:rPr>
          <w:rFonts w:hint="eastAsia" w:ascii="宋体" w:hAnsi="宋体" w:cs="宋体"/>
          <w:sz w:val="20"/>
          <w:szCs w:val="20"/>
        </w:rPr>
        <w:t>（大写）</w:t>
      </w:r>
      <w:r>
        <w:rPr>
          <w:rFonts w:hint="eastAsia" w:ascii="宋体" w:hAnsi="宋体" w:cs="宋体"/>
          <w:sz w:val="20"/>
          <w:szCs w:val="20"/>
          <w:u w:val="single"/>
          <w:lang w:val="en-US" w:eastAsia="zh-CN"/>
        </w:rPr>
        <w:t xml:space="preserve">          </w:t>
      </w:r>
      <w:r>
        <w:rPr>
          <w:rFonts w:hint="eastAsia" w:ascii="宋体" w:hAnsi="宋体" w:cs="宋体"/>
          <w:sz w:val="20"/>
          <w:szCs w:val="20"/>
        </w:rPr>
        <w:t>。</w:t>
      </w:r>
      <w:r>
        <w:rPr>
          <w:rFonts w:hint="eastAsia" w:ascii="宋体" w:hAnsi="宋体" w:cs="宋体"/>
          <w:bCs/>
          <w:sz w:val="20"/>
          <w:szCs w:val="20"/>
        </w:rPr>
        <w:t>在合同履行期间，如买方发生违约情形，双方授权</w:t>
      </w:r>
      <w:r>
        <w:rPr>
          <w:rFonts w:hint="eastAsia" w:ascii="宋体" w:hAnsi="宋体" w:cs="宋体"/>
          <w:color w:val="FF0000"/>
          <w:sz w:val="20"/>
          <w:szCs w:val="20"/>
          <w:lang w:eastAsia="zh-CN"/>
        </w:rPr>
        <w:t>国家粮食浙江交易中心</w:t>
      </w:r>
      <w:r>
        <w:rPr>
          <w:rFonts w:hint="eastAsia" w:ascii="宋体" w:hAnsi="宋体" w:cs="宋体"/>
          <w:bCs/>
          <w:sz w:val="20"/>
          <w:szCs w:val="20"/>
        </w:rPr>
        <w:t>根据违约情况，扣除买方履约保证金支付给卖方。违约金超过履约保证金的，超过部分双方按《</w:t>
      </w:r>
      <w:r>
        <w:rPr>
          <w:rFonts w:hint="eastAsia" w:ascii="宋体" w:hAnsi="宋体" w:cs="宋体"/>
          <w:color w:val="000000"/>
          <w:sz w:val="20"/>
          <w:szCs w:val="20"/>
        </w:rPr>
        <w:t>民法典</w:t>
      </w:r>
      <w:r>
        <w:rPr>
          <w:rFonts w:hint="eastAsia" w:ascii="宋体" w:hAnsi="宋体" w:cs="宋体"/>
          <w:bCs/>
          <w:sz w:val="20"/>
          <w:szCs w:val="20"/>
        </w:rPr>
        <w:t>》通过其它途径另行处理。</w:t>
      </w:r>
    </w:p>
    <w:p w14:paraId="308B6D81">
      <w:pPr>
        <w:pStyle w:val="3"/>
        <w:spacing w:before="0" w:beforeAutospacing="0" w:after="0" w:afterAutospacing="0" w:line="495" w:lineRule="atLeast"/>
        <w:ind w:firstLine="480" w:firstLineChars="0"/>
        <w:rPr>
          <w:rFonts w:hint="eastAsia" w:ascii="宋体" w:hAnsi="宋体" w:cs="宋体"/>
          <w:color w:val="171A1D"/>
          <w:sz w:val="20"/>
          <w:szCs w:val="20"/>
          <w:shd w:val="clear" w:color="auto" w:fill="FFFFFF"/>
        </w:rPr>
      </w:pPr>
      <w:r>
        <w:rPr>
          <w:rFonts w:hint="eastAsia" w:ascii="宋体" w:hAnsi="宋体" w:cs="宋体"/>
          <w:bCs/>
          <w:sz w:val="20"/>
          <w:szCs w:val="20"/>
        </w:rPr>
        <w:t>五、</w:t>
      </w:r>
      <w:r>
        <w:rPr>
          <w:rFonts w:hint="eastAsia" w:ascii="宋体" w:hAnsi="宋体" w:cs="宋体"/>
          <w:color w:val="000000"/>
          <w:sz w:val="20"/>
          <w:szCs w:val="20"/>
        </w:rPr>
        <w:t>1、</w:t>
      </w:r>
      <w:r>
        <w:rPr>
          <w:rFonts w:hint="eastAsia" w:ascii="宋体" w:hAnsi="宋体" w:cs="宋体"/>
          <w:bCs/>
          <w:sz w:val="20"/>
          <w:szCs w:val="20"/>
        </w:rPr>
        <w:t>逾期提货处理。</w:t>
      </w:r>
      <w:r>
        <w:rPr>
          <w:rFonts w:hint="eastAsia" w:ascii="宋体" w:hAnsi="宋体" w:cs="宋体"/>
          <w:color w:val="000000"/>
          <w:sz w:val="20"/>
          <w:szCs w:val="20"/>
        </w:rPr>
        <w:t>买方不能在规定期限前提清成交粮食(卖方原因除外），须向卖方支付延期提货仓库占用费，支付标准为：延期1-5天（含5天）每标的每天按1000元标准支付仓库占用费，第6天起每标的每天按2000元标准支付仓库占用费。</w:t>
      </w:r>
      <w:r>
        <w:rPr>
          <w:rFonts w:hint="eastAsia" w:ascii="宋体" w:hAnsi="宋体" w:cs="宋体"/>
          <w:color w:val="FF0000"/>
          <w:sz w:val="20"/>
          <w:szCs w:val="20"/>
        </w:rPr>
        <w:t>延期提货仓库占用费</w:t>
      </w:r>
      <w:r>
        <w:rPr>
          <w:rFonts w:hint="eastAsia" w:ascii="宋体" w:hAnsi="宋体" w:cs="宋体"/>
          <w:color w:val="FF0000"/>
          <w:sz w:val="20"/>
          <w:szCs w:val="20"/>
          <w:lang w:eastAsia="zh-CN"/>
        </w:rPr>
        <w:t>由</w:t>
      </w:r>
      <w:r>
        <w:rPr>
          <w:rFonts w:hint="eastAsia" w:ascii="宋体" w:hAnsi="宋体" w:cs="宋体"/>
          <w:color w:val="FF0000"/>
          <w:sz w:val="20"/>
          <w:szCs w:val="20"/>
        </w:rPr>
        <w:t>买方另行支付。</w:t>
      </w:r>
      <w:r>
        <w:rPr>
          <w:rFonts w:hint="eastAsia" w:ascii="宋体" w:hAnsi="宋体" w:cs="宋体"/>
          <w:color w:val="171A1D"/>
          <w:sz w:val="20"/>
          <w:szCs w:val="20"/>
          <w:shd w:val="clear" w:color="auto" w:fill="FFFFFF"/>
        </w:rPr>
        <w:t>如买方未按约定时间完成提货，卖方将视情况限制其参加本公司后期</w:t>
      </w:r>
      <w:r>
        <w:rPr>
          <w:rFonts w:hint="eastAsia" w:ascii="宋体" w:hAnsi="宋体" w:cs="宋体"/>
          <w:color w:val="FF0000"/>
          <w:sz w:val="20"/>
          <w:szCs w:val="20"/>
          <w:shd w:val="clear" w:color="auto" w:fill="FFFFFF"/>
          <w:lang w:eastAsia="zh-CN"/>
        </w:rPr>
        <w:t>储备粮（含商品粮）</w:t>
      </w:r>
      <w:r>
        <w:rPr>
          <w:rFonts w:hint="eastAsia" w:ascii="宋体" w:hAnsi="宋体" w:cs="宋体"/>
          <w:color w:val="171A1D"/>
          <w:sz w:val="20"/>
          <w:szCs w:val="20"/>
          <w:shd w:val="clear" w:color="auto" w:fill="FFFFFF"/>
        </w:rPr>
        <w:t>竞价交易活动。</w:t>
      </w:r>
    </w:p>
    <w:p w14:paraId="0056BA60">
      <w:pPr>
        <w:pStyle w:val="3"/>
        <w:numPr>
          <w:ilvl w:val="0"/>
          <w:numId w:val="2"/>
        </w:numPr>
        <w:spacing w:before="0" w:beforeAutospacing="0" w:after="0" w:afterAutospacing="0" w:line="495" w:lineRule="atLeast"/>
        <w:ind w:firstLine="480" w:firstLineChars="0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color w:val="000000"/>
          <w:sz w:val="20"/>
          <w:szCs w:val="20"/>
        </w:rPr>
        <w:t>成交价为含税价格（含汽车板前费）。</w:t>
      </w:r>
    </w:p>
    <w:p w14:paraId="6A321F4C">
      <w:pPr>
        <w:pStyle w:val="3"/>
        <w:numPr>
          <w:ilvl w:val="0"/>
          <w:numId w:val="3"/>
        </w:numPr>
        <w:spacing w:before="0" w:beforeAutospacing="0" w:after="0" w:afterAutospacing="0" w:line="495" w:lineRule="atLeast"/>
        <w:ind w:firstLine="480" w:firstLineChars="0"/>
        <w:jc w:val="both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color w:val="000000"/>
          <w:sz w:val="20"/>
          <w:szCs w:val="20"/>
        </w:rPr>
        <w:t>履约完毕后卖方提供正式销货发票（买方自行到卖方财务科索取发票），有关印花税等税款按国家有关规定由各自自行缴纳。</w:t>
      </w:r>
    </w:p>
    <w:p w14:paraId="32C7CB3B">
      <w:pPr>
        <w:pStyle w:val="3"/>
        <w:numPr>
          <w:ilvl w:val="0"/>
          <w:numId w:val="3"/>
        </w:numPr>
        <w:spacing w:before="0" w:beforeAutospacing="0" w:after="0" w:afterAutospacing="0" w:line="495" w:lineRule="atLeast"/>
        <w:ind w:left="0" w:firstLine="480" w:firstLineChars="0"/>
        <w:jc w:val="both"/>
        <w:rPr>
          <w:rFonts w:hint="eastAsia" w:ascii="宋体" w:hAnsi="宋体" w:cs="宋体"/>
          <w:bCs/>
          <w:color w:val="auto"/>
          <w:sz w:val="20"/>
          <w:szCs w:val="20"/>
        </w:rPr>
      </w:pPr>
      <w:r>
        <w:rPr>
          <w:rFonts w:hint="eastAsia" w:ascii="宋体" w:hAnsi="宋体" w:cs="宋体"/>
          <w:color w:val="auto"/>
          <w:sz w:val="20"/>
          <w:szCs w:val="20"/>
          <w:lang w:eastAsia="zh-CN"/>
        </w:rPr>
        <w:t>买方发生不能按结算办法</w:t>
      </w:r>
      <w:r>
        <w:rPr>
          <w:rFonts w:hint="eastAsia" w:ascii="宋体" w:hAnsi="宋体" w:cs="宋体"/>
          <w:color w:val="auto"/>
          <w:sz w:val="20"/>
          <w:szCs w:val="20"/>
          <w:lang w:val="en-US" w:eastAsia="zh-CN"/>
        </w:rPr>
        <w:t>约定支付各期款项或者逾期提货影响卖方正常经营等情况的，均视作违约，</w:t>
      </w:r>
      <w:r>
        <w:rPr>
          <w:rFonts w:hint="eastAsia" w:ascii="宋体" w:hAnsi="宋体" w:cs="宋体"/>
          <w:color w:val="auto"/>
          <w:sz w:val="20"/>
          <w:szCs w:val="20"/>
        </w:rPr>
        <w:t>卖方有权单方面解除合同，并对货物享有处置权，</w:t>
      </w:r>
      <w:r>
        <w:rPr>
          <w:rFonts w:hint="eastAsia" w:ascii="宋体" w:hAnsi="宋体" w:cs="宋体"/>
          <w:bCs/>
          <w:color w:val="auto"/>
          <w:sz w:val="20"/>
          <w:szCs w:val="20"/>
        </w:rPr>
        <w:t>扣除买方履约保证金支付给卖方。</w:t>
      </w:r>
    </w:p>
    <w:p w14:paraId="52FE9D70">
      <w:pPr>
        <w:pStyle w:val="3"/>
        <w:numPr>
          <w:ilvl w:val="0"/>
          <w:numId w:val="3"/>
        </w:numPr>
        <w:spacing w:before="0" w:beforeAutospacing="0" w:after="0" w:afterAutospacing="0" w:line="495" w:lineRule="atLeast"/>
        <w:ind w:firstLine="480"/>
        <w:rPr>
          <w:rFonts w:hint="eastAsia" w:ascii="宋体" w:hAnsi="宋体" w:cs="宋体"/>
          <w:color w:val="auto"/>
          <w:sz w:val="20"/>
          <w:szCs w:val="20"/>
          <w:shd w:val="clear" w:color="auto" w:fill="FFFFFF"/>
        </w:rPr>
      </w:pPr>
      <w:r>
        <w:rPr>
          <w:rFonts w:hint="eastAsia" w:ascii="宋体" w:hAnsi="宋体" w:cs="宋体"/>
          <w:color w:val="auto"/>
          <w:sz w:val="20"/>
          <w:szCs w:val="20"/>
          <w:shd w:val="clear" w:color="auto" w:fill="FFFFFF"/>
        </w:rPr>
        <w:t>如为整仓销售的，不管整仓数量多于或者少于公告标的物数量，买方均应整仓提完；如该仓为分</w:t>
      </w:r>
      <w:r>
        <w:rPr>
          <w:rFonts w:hint="eastAsia" w:ascii="宋体" w:hAnsi="宋体" w:cs="宋体"/>
          <w:color w:val="auto"/>
          <w:sz w:val="20"/>
          <w:szCs w:val="20"/>
          <w:shd w:val="clear" w:color="auto" w:fill="FFFFFF"/>
          <w:lang w:eastAsia="zh-CN"/>
        </w:rPr>
        <w:t>标</w:t>
      </w:r>
      <w:r>
        <w:rPr>
          <w:rFonts w:hint="eastAsia" w:ascii="宋体" w:hAnsi="宋体" w:cs="宋体"/>
          <w:color w:val="auto"/>
          <w:sz w:val="20"/>
          <w:szCs w:val="20"/>
          <w:shd w:val="clear" w:color="auto" w:fill="FFFFFF"/>
        </w:rPr>
        <w:t>销售的，则按照提货顺序足量发货，该仓的最后一个提货买方应提完剩余标的物（不管剩余标的物多于或者少于公告标的物数量）。任何情况下，本合同标的物单价均按公告标的物的成交单价结算。</w:t>
      </w:r>
      <w:r>
        <w:rPr>
          <w:rFonts w:hint="eastAsia" w:ascii="宋体" w:hAnsi="宋体" w:eastAsia="宋体" w:cs="宋体"/>
          <w:color w:val="171A1D"/>
          <w:sz w:val="20"/>
          <w:szCs w:val="20"/>
          <w:shd w:val="clear" w:color="auto" w:fill="FFFFFF"/>
          <w:lang w:eastAsia="zh-CN"/>
        </w:rPr>
        <w:t>若同一买方竞得同一仓号内多个标段，则溢余损耗货款按该买方竞得的该仓最后一个标段价格进行结算。</w:t>
      </w:r>
      <w:r>
        <w:rPr>
          <w:rFonts w:hint="eastAsia" w:ascii="宋体" w:hAnsi="宋体" w:eastAsia="宋体" w:cs="宋体"/>
          <w:color w:val="171A1D"/>
          <w:sz w:val="20"/>
          <w:szCs w:val="20"/>
          <w:shd w:val="clear" w:color="auto" w:fill="FFFFFF"/>
        </w:rPr>
        <w:br w:type="textWrapping"/>
      </w:r>
      <w:r>
        <w:rPr>
          <w:rFonts w:hint="eastAsia" w:ascii="宋体" w:hAnsi="宋体" w:cs="宋体"/>
          <w:color w:val="auto"/>
          <w:sz w:val="20"/>
          <w:szCs w:val="20"/>
          <w:shd w:val="clear" w:color="auto" w:fill="FFFFFF"/>
        </w:rPr>
        <w:br w:type="textWrapping"/>
      </w:r>
      <w:r>
        <w:rPr>
          <w:rFonts w:hint="eastAsia" w:ascii="宋体" w:hAnsi="宋体" w:cs="宋体"/>
          <w:color w:val="auto"/>
          <w:sz w:val="20"/>
          <w:szCs w:val="20"/>
          <w:shd w:val="clear" w:color="auto" w:fill="FFFFFF"/>
          <w:lang w:val="en-US" w:eastAsia="zh-CN"/>
        </w:rPr>
        <w:t xml:space="preserve">     6、</w:t>
      </w:r>
      <w:r>
        <w:rPr>
          <w:rFonts w:hint="eastAsia" w:ascii="宋体" w:hAnsi="宋体" w:cs="宋体"/>
          <w:color w:val="auto"/>
          <w:sz w:val="20"/>
          <w:szCs w:val="20"/>
          <w:shd w:val="clear" w:color="auto" w:fill="FFFFFF"/>
        </w:rPr>
        <w:t>其他费用不提供正式发票。</w:t>
      </w:r>
    </w:p>
    <w:p w14:paraId="117DA603">
      <w:pPr>
        <w:spacing w:line="420" w:lineRule="exact"/>
        <w:ind w:firstLine="400" w:firstLineChars="200"/>
        <w:jc w:val="both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color w:val="000000"/>
          <w:sz w:val="20"/>
          <w:szCs w:val="20"/>
        </w:rPr>
        <w:t>六、本合同未尽事宜，双方协商解决。</w:t>
      </w:r>
    </w:p>
    <w:p w14:paraId="0F7AC6F5">
      <w:pPr>
        <w:spacing w:line="420" w:lineRule="exact"/>
        <w:ind w:firstLine="400" w:firstLineChars="200"/>
        <w:jc w:val="both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color w:val="000000"/>
          <w:sz w:val="20"/>
          <w:szCs w:val="20"/>
        </w:rPr>
        <w:t>七、本合同自卖买双方盖章并签字后生效。</w:t>
      </w:r>
    </w:p>
    <w:p w14:paraId="091C8288">
      <w:pPr>
        <w:spacing w:line="420" w:lineRule="exact"/>
        <w:ind w:firstLine="400" w:firstLineChars="200"/>
        <w:jc w:val="both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color w:val="000000"/>
          <w:sz w:val="20"/>
          <w:szCs w:val="20"/>
        </w:rPr>
        <w:t>八、本</w:t>
      </w:r>
      <w:r>
        <w:rPr>
          <w:rFonts w:hint="eastAsia" w:ascii="宋体" w:hAnsi="宋体" w:cs="宋体"/>
          <w:color w:val="000000"/>
          <w:sz w:val="20"/>
          <w:szCs w:val="20"/>
        </w:rPr>
        <w:fldChar w:fldCharType="begin"/>
      </w:r>
      <w:r>
        <w:rPr>
          <w:rFonts w:hint="eastAsia" w:ascii="宋体" w:hAnsi="宋体" w:cs="宋体"/>
          <w:color w:val="000000"/>
          <w:sz w:val="20"/>
          <w:szCs w:val="20"/>
        </w:rPr>
        <w:instrText xml:space="preserve"> HYPERLINK "http://www.86exp.com/hetong/" </w:instrText>
      </w:r>
      <w:r>
        <w:rPr>
          <w:rFonts w:hint="eastAsia" w:ascii="宋体" w:hAnsi="宋体" w:cs="宋体"/>
          <w:color w:val="000000"/>
          <w:sz w:val="20"/>
          <w:szCs w:val="20"/>
        </w:rPr>
        <w:fldChar w:fldCharType="separate"/>
      </w:r>
      <w:r>
        <w:rPr>
          <w:rFonts w:hint="eastAsia" w:ascii="宋体" w:hAnsi="宋体" w:cs="宋体"/>
          <w:color w:val="000000"/>
          <w:sz w:val="20"/>
          <w:szCs w:val="20"/>
        </w:rPr>
        <w:t>合同</w:t>
      </w:r>
      <w:r>
        <w:rPr>
          <w:rFonts w:hint="eastAsia" w:ascii="宋体" w:hAnsi="宋体" w:cs="宋体"/>
          <w:color w:val="000000"/>
          <w:sz w:val="20"/>
          <w:szCs w:val="20"/>
        </w:rPr>
        <w:fldChar w:fldCharType="end"/>
      </w:r>
      <w:r>
        <w:rPr>
          <w:rFonts w:hint="eastAsia" w:ascii="宋体" w:hAnsi="宋体" w:cs="宋体"/>
          <w:color w:val="000000"/>
          <w:sz w:val="20"/>
          <w:szCs w:val="20"/>
        </w:rPr>
        <w:t>一式二份，双方各执一份。</w:t>
      </w:r>
    </w:p>
    <w:p w14:paraId="5A79137E">
      <w:pPr>
        <w:spacing w:line="420" w:lineRule="exact"/>
        <w:ind w:firstLine="400" w:firstLineChars="200"/>
        <w:jc w:val="both"/>
        <w:rPr>
          <w:rFonts w:hint="eastAsia" w:ascii="宋体" w:hAnsi="宋体" w:cs="宋体"/>
          <w:color w:val="000000"/>
          <w:sz w:val="20"/>
          <w:szCs w:val="20"/>
        </w:rPr>
      </w:pPr>
    </w:p>
    <w:p w14:paraId="7546BEA5">
      <w:pPr>
        <w:spacing w:line="420" w:lineRule="exact"/>
        <w:ind w:firstLine="400" w:firstLineChars="200"/>
        <w:rPr>
          <w:rFonts w:hint="eastAsia" w:ascii="宋体" w:hAnsi="宋体" w:cs="宋体"/>
          <w:sz w:val="20"/>
          <w:szCs w:val="20"/>
        </w:rPr>
      </w:pPr>
    </w:p>
    <w:p w14:paraId="0060B622">
      <w:pPr>
        <w:spacing w:line="420" w:lineRule="exact"/>
        <w:ind w:firstLine="400" w:firstLineChars="200"/>
        <w:rPr>
          <w:rFonts w:hint="eastAsia" w:ascii="宋体" w:hAnsi="宋体" w:cs="宋体"/>
          <w:sz w:val="20"/>
          <w:szCs w:val="20"/>
        </w:rPr>
      </w:pPr>
    </w:p>
    <w:p w14:paraId="7E496848">
      <w:pPr>
        <w:spacing w:line="420" w:lineRule="exact"/>
        <w:ind w:firstLine="400" w:firstLineChars="200"/>
        <w:rPr>
          <w:rFonts w:hint="eastAsia" w:ascii="宋体" w:hAnsi="宋体" w:cs="宋体"/>
          <w:sz w:val="20"/>
          <w:szCs w:val="20"/>
        </w:rPr>
      </w:pPr>
    </w:p>
    <w:p w14:paraId="42F71449">
      <w:pPr>
        <w:spacing w:line="420" w:lineRule="exact"/>
        <w:ind w:firstLine="400" w:firstLineChars="200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sz w:val="20"/>
          <w:szCs w:val="20"/>
        </w:rPr>
        <w:t>卖方（盖章）：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>绍兴市越城区储备粮管理有限公司</w:t>
      </w:r>
      <w:r>
        <w:rPr>
          <w:rFonts w:hint="eastAsia" w:ascii="宋体" w:hAnsi="宋体" w:cs="宋体"/>
          <w:color w:val="000000"/>
          <w:sz w:val="20"/>
          <w:szCs w:val="20"/>
        </w:rPr>
        <w:t>；</w:t>
      </w:r>
      <w:r>
        <w:rPr>
          <w:rFonts w:hint="eastAsia" w:ascii="宋体" w:hAnsi="宋体" w:cs="宋体"/>
          <w:sz w:val="20"/>
          <w:szCs w:val="20"/>
        </w:rPr>
        <w:t>买方（盖章）：</w:t>
      </w:r>
      <w:r>
        <w:rPr>
          <w:rFonts w:hint="eastAsia" w:ascii="宋体" w:hAnsi="宋体" w:cs="宋体"/>
          <w:sz w:val="20"/>
          <w:szCs w:val="20"/>
          <w:u w:val="single"/>
          <w:lang w:val="en-US" w:eastAsia="zh-CN"/>
        </w:rPr>
        <w:t xml:space="preserve">                        </w:t>
      </w:r>
      <w:r>
        <w:rPr>
          <w:rFonts w:hint="eastAsia" w:ascii="宋体" w:hAnsi="宋体" w:cs="宋体"/>
          <w:bCs/>
          <w:sz w:val="20"/>
          <w:szCs w:val="20"/>
          <w:u w:val="single"/>
          <w:lang w:val="en-US" w:eastAsia="zh-CN"/>
        </w:rPr>
        <w:t xml:space="preserve">  </w:t>
      </w:r>
      <w:r>
        <w:rPr>
          <w:rFonts w:hint="eastAsia" w:ascii="宋体" w:hAnsi="宋体" w:cs="宋体"/>
          <w:bCs/>
          <w:sz w:val="20"/>
          <w:szCs w:val="20"/>
          <w:u w:val="none"/>
        </w:rPr>
        <w:t>；</w:t>
      </w:r>
    </w:p>
    <w:p w14:paraId="5C0D43E6">
      <w:pPr>
        <w:spacing w:line="420" w:lineRule="exact"/>
        <w:ind w:firstLine="400" w:firstLineChars="200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sz w:val="20"/>
          <w:szCs w:val="20"/>
        </w:rPr>
        <w:t>法定代表人：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         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</w:t>
      </w:r>
      <w:r>
        <w:rPr>
          <w:rFonts w:hint="eastAsia" w:ascii="宋体" w:hAnsi="宋体" w:cs="宋体"/>
          <w:color w:val="000000"/>
          <w:sz w:val="20"/>
          <w:szCs w:val="20"/>
        </w:rPr>
        <w:t xml:space="preserve">； </w:t>
      </w:r>
      <w:r>
        <w:rPr>
          <w:rFonts w:hint="eastAsia" w:ascii="宋体" w:hAnsi="宋体" w:cs="宋体"/>
          <w:sz w:val="20"/>
          <w:szCs w:val="20"/>
        </w:rPr>
        <w:t>法定代表人：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            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</w:t>
      </w:r>
      <w:r>
        <w:rPr>
          <w:rFonts w:hint="eastAsia" w:ascii="宋体" w:hAnsi="宋体" w:cs="宋体"/>
          <w:color w:val="000000"/>
          <w:sz w:val="20"/>
          <w:szCs w:val="20"/>
        </w:rPr>
        <w:t>；</w:t>
      </w:r>
    </w:p>
    <w:p w14:paraId="2B01FF4D">
      <w:pPr>
        <w:widowControl w:val="0"/>
        <w:spacing w:line="420" w:lineRule="exact"/>
        <w:ind w:firstLine="400" w:firstLineChars="200"/>
        <w:rPr>
          <w:rFonts w:hint="eastAsia" w:ascii="宋体" w:hAnsi="宋体" w:cs="宋体"/>
          <w:sz w:val="20"/>
          <w:szCs w:val="20"/>
        </w:rPr>
      </w:pPr>
      <w:r>
        <w:rPr>
          <w:rFonts w:hint="eastAsia" w:ascii="宋体" w:hAnsi="宋体" w:cs="宋体"/>
          <w:sz w:val="20"/>
          <w:szCs w:val="20"/>
        </w:rPr>
        <w:t>开户银行：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eastAsia="zh-CN"/>
        </w:rPr>
        <w:t>中国农业发展银行绍兴市分行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  </w:t>
      </w:r>
      <w:r>
        <w:rPr>
          <w:rFonts w:hint="eastAsia" w:ascii="宋体" w:hAnsi="宋体" w:cs="宋体"/>
          <w:color w:val="000000"/>
          <w:sz w:val="20"/>
          <w:szCs w:val="20"/>
        </w:rPr>
        <w:t xml:space="preserve">； </w:t>
      </w:r>
      <w:r>
        <w:rPr>
          <w:rFonts w:hint="eastAsia" w:ascii="宋体" w:hAnsi="宋体" w:cs="宋体"/>
          <w:sz w:val="20"/>
          <w:szCs w:val="20"/>
        </w:rPr>
        <w:t>开户银行：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            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</w:rPr>
        <w:t>；</w:t>
      </w:r>
    </w:p>
    <w:p w14:paraId="3E9C9B22">
      <w:pPr>
        <w:spacing w:line="420" w:lineRule="exact"/>
        <w:ind w:firstLine="400" w:firstLineChars="200"/>
        <w:rPr>
          <w:rFonts w:hint="eastAsia" w:ascii="宋体" w:hAnsi="宋体" w:cs="宋体"/>
          <w:sz w:val="20"/>
          <w:szCs w:val="20"/>
        </w:rPr>
      </w:pPr>
      <w:r>
        <w:rPr>
          <w:rFonts w:hint="eastAsia" w:ascii="宋体" w:hAnsi="宋体" w:cs="宋体"/>
          <w:sz w:val="20"/>
          <w:szCs w:val="20"/>
        </w:rPr>
        <w:t>银行帐号：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</w:t>
      </w:r>
      <w:r>
        <w:rPr>
          <w:rFonts w:hint="eastAsia" w:ascii="宋体" w:hAnsi="宋体" w:cs="宋体"/>
          <w:sz w:val="20"/>
          <w:szCs w:val="20"/>
          <w:u w:val="single"/>
        </w:rPr>
        <w:t>20333069900100000007091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</w:rPr>
        <w:t xml:space="preserve">； </w:t>
      </w:r>
      <w:r>
        <w:rPr>
          <w:rFonts w:hint="eastAsia" w:ascii="宋体" w:hAnsi="宋体" w:cs="宋体"/>
          <w:sz w:val="20"/>
          <w:szCs w:val="20"/>
        </w:rPr>
        <w:t>银行帐号：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            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</w:rPr>
        <w:t>；</w:t>
      </w:r>
    </w:p>
    <w:p w14:paraId="2759C315">
      <w:pPr>
        <w:spacing w:line="420" w:lineRule="exact"/>
        <w:ind w:firstLine="400" w:firstLineChars="200"/>
        <w:rPr>
          <w:rFonts w:hint="eastAsia" w:ascii="宋体" w:hAnsi="宋体" w:cs="宋体"/>
          <w:sz w:val="20"/>
          <w:szCs w:val="20"/>
        </w:rPr>
      </w:pPr>
      <w:r>
        <w:rPr>
          <w:rFonts w:hint="eastAsia" w:ascii="宋体" w:hAnsi="宋体" w:cs="宋体"/>
          <w:sz w:val="20"/>
          <w:szCs w:val="20"/>
        </w:rPr>
        <w:t>单位地址：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绍兴市越城区越东南路956号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</w:rPr>
        <w:t xml:space="preserve">； </w:t>
      </w:r>
      <w:r>
        <w:rPr>
          <w:rFonts w:hint="eastAsia" w:ascii="宋体" w:hAnsi="宋体" w:cs="宋体"/>
          <w:sz w:val="20"/>
          <w:szCs w:val="20"/>
        </w:rPr>
        <w:t>单位地址：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            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</w:rPr>
        <w:t>；</w:t>
      </w:r>
    </w:p>
    <w:p w14:paraId="2586F366">
      <w:pPr>
        <w:spacing w:line="420" w:lineRule="exact"/>
        <w:ind w:firstLine="400" w:firstLineChars="200"/>
        <w:rPr>
          <w:rFonts w:hint="eastAsia" w:ascii="宋体" w:hAnsi="宋体" w:cs="宋体"/>
          <w:color w:val="000000"/>
          <w:sz w:val="20"/>
          <w:szCs w:val="20"/>
        </w:rPr>
      </w:pPr>
      <w:r>
        <w:rPr>
          <w:rFonts w:hint="eastAsia" w:ascii="宋体" w:hAnsi="宋体" w:cs="宋体"/>
          <w:sz w:val="20"/>
          <w:szCs w:val="20"/>
        </w:rPr>
        <w:t>邮政编码：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 312000        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</w:rPr>
        <w:t xml:space="preserve">； </w:t>
      </w:r>
      <w:r>
        <w:rPr>
          <w:rFonts w:hint="eastAsia" w:ascii="宋体" w:hAnsi="宋体" w:cs="宋体"/>
          <w:sz w:val="20"/>
          <w:szCs w:val="20"/>
        </w:rPr>
        <w:t>邮政编码：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         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</w:rPr>
        <w:t>；</w:t>
      </w:r>
    </w:p>
    <w:p w14:paraId="6E0FE417">
      <w:pPr>
        <w:spacing w:line="420" w:lineRule="exact"/>
        <w:ind w:firstLine="400" w:firstLineChars="200"/>
        <w:rPr>
          <w:rFonts w:hint="eastAsia" w:ascii="宋体" w:hAnsi="宋体" w:cs="宋体"/>
          <w:sz w:val="20"/>
          <w:szCs w:val="20"/>
        </w:rPr>
      </w:pPr>
      <w:r>
        <w:rPr>
          <w:rFonts w:hint="eastAsia" w:ascii="宋体" w:hAnsi="宋体" w:cs="宋体"/>
          <w:sz w:val="20"/>
          <w:szCs w:val="20"/>
        </w:rPr>
        <w:t>联系电话：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0575－85131218  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</w:t>
      </w:r>
      <w:r>
        <w:rPr>
          <w:rFonts w:hint="eastAsia" w:ascii="宋体" w:hAnsi="宋体" w:cs="宋体"/>
          <w:color w:val="000000"/>
          <w:sz w:val="20"/>
          <w:szCs w:val="20"/>
        </w:rPr>
        <w:t>；</w:t>
      </w:r>
      <w:r>
        <w:rPr>
          <w:rFonts w:hint="eastAsia" w:ascii="宋体" w:hAnsi="宋体" w:cs="宋体"/>
          <w:color w:val="000000"/>
          <w:sz w:val="20"/>
          <w:szCs w:val="20"/>
          <w:lang w:val="en-US" w:eastAsia="zh-CN"/>
        </w:rPr>
        <w:t xml:space="preserve"> </w:t>
      </w:r>
      <w:r>
        <w:rPr>
          <w:rFonts w:hint="eastAsia" w:ascii="宋体" w:hAnsi="宋体" w:cs="宋体"/>
          <w:sz w:val="20"/>
          <w:szCs w:val="20"/>
        </w:rPr>
        <w:t>联系电话：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           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</w:rPr>
        <w:t>；</w:t>
      </w:r>
    </w:p>
    <w:p w14:paraId="73582182">
      <w:pPr>
        <w:spacing w:line="420" w:lineRule="exact"/>
        <w:ind w:firstLine="400" w:firstLineChars="200"/>
        <w:rPr>
          <w:rFonts w:hint="eastAsia" w:ascii="宋体" w:hAnsi="宋体" w:cs="宋体"/>
          <w:sz w:val="20"/>
          <w:szCs w:val="20"/>
        </w:rPr>
      </w:pPr>
      <w:r>
        <w:rPr>
          <w:rFonts w:hint="eastAsia" w:ascii="宋体" w:hAnsi="宋体" w:cs="宋体"/>
          <w:sz w:val="20"/>
          <w:szCs w:val="20"/>
        </w:rPr>
        <w:t>传真：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0575－85131218     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</w:t>
      </w:r>
      <w:r>
        <w:rPr>
          <w:rFonts w:hint="eastAsia" w:ascii="宋体" w:hAnsi="宋体" w:cs="宋体"/>
          <w:color w:val="000000"/>
          <w:sz w:val="20"/>
          <w:szCs w:val="20"/>
        </w:rPr>
        <w:t xml:space="preserve">； </w:t>
      </w:r>
      <w:r>
        <w:rPr>
          <w:rFonts w:hint="eastAsia" w:ascii="宋体" w:hAnsi="宋体" w:cs="宋体"/>
          <w:sz w:val="20"/>
          <w:szCs w:val="20"/>
        </w:rPr>
        <w:t>传真：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                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  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   </w:t>
      </w:r>
      <w:r>
        <w:rPr>
          <w:rFonts w:hint="eastAsia" w:ascii="宋体" w:hAnsi="宋体" w:cs="宋体"/>
          <w:color w:val="000000"/>
          <w:sz w:val="20"/>
          <w:szCs w:val="20"/>
          <w:u w:val="single"/>
          <w:lang w:val="en-US" w:eastAsia="zh-CN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  <w:u w:val="single"/>
        </w:rPr>
        <w:t xml:space="preserve"> </w:t>
      </w:r>
      <w:r>
        <w:rPr>
          <w:rFonts w:hint="eastAsia" w:ascii="宋体" w:hAnsi="宋体" w:cs="宋体"/>
          <w:color w:val="000000"/>
          <w:sz w:val="20"/>
          <w:szCs w:val="20"/>
        </w:rPr>
        <w:t>；</w:t>
      </w:r>
    </w:p>
    <w:p w14:paraId="475A241D">
      <w:pPr>
        <w:spacing w:line="420" w:lineRule="exact"/>
        <w:ind w:firstLine="400" w:firstLineChars="200"/>
        <w:rPr>
          <w:rFonts w:hint="eastAsia" w:ascii="宋体" w:hAnsi="宋体" w:cs="宋体"/>
          <w:sz w:val="20"/>
          <w:szCs w:val="20"/>
        </w:rPr>
      </w:pPr>
    </w:p>
    <w:p w14:paraId="5BB511B2">
      <w:pPr>
        <w:spacing w:line="420" w:lineRule="exact"/>
        <w:ind w:firstLine="6600" w:firstLineChars="3300"/>
        <w:rPr>
          <w:rFonts w:hint="eastAsia" w:ascii="宋体" w:hAnsi="宋体" w:cs="宋体"/>
          <w:sz w:val="20"/>
          <w:szCs w:val="20"/>
        </w:rPr>
      </w:pPr>
      <w:r>
        <w:rPr>
          <w:rFonts w:hint="eastAsia" w:ascii="宋体" w:hAnsi="宋体" w:cs="宋体"/>
          <w:sz w:val="20"/>
          <w:szCs w:val="20"/>
        </w:rPr>
        <w:t>签约地点：绍兴市越城区</w:t>
      </w:r>
    </w:p>
    <w:p w14:paraId="73363F88">
      <w:pPr>
        <w:spacing w:line="420" w:lineRule="exact"/>
        <w:ind w:firstLine="6518" w:firstLineChars="3259"/>
      </w:pPr>
      <w:r>
        <w:rPr>
          <w:rFonts w:hint="eastAsia" w:ascii="宋体" w:hAnsi="宋体" w:cs="宋体"/>
          <w:sz w:val="20"/>
          <w:szCs w:val="20"/>
        </w:rPr>
        <w:t>签约时间：</w:t>
      </w:r>
      <w:r>
        <w:rPr>
          <w:rFonts w:hint="eastAsia" w:ascii="宋体" w:hAnsi="宋体" w:cs="宋体"/>
          <w:sz w:val="20"/>
          <w:szCs w:val="20"/>
          <w:lang w:val="en-US" w:eastAsia="zh-CN"/>
        </w:rPr>
        <w:t xml:space="preserve">  </w:t>
      </w:r>
      <w:r>
        <w:rPr>
          <w:rFonts w:hint="eastAsia" w:ascii="宋体" w:hAnsi="宋体" w:cs="宋体"/>
          <w:sz w:val="20"/>
          <w:szCs w:val="20"/>
        </w:rPr>
        <w:t>年</w:t>
      </w:r>
      <w:r>
        <w:rPr>
          <w:rFonts w:hint="eastAsia" w:ascii="宋体" w:hAnsi="宋体" w:cs="宋体"/>
          <w:sz w:val="20"/>
          <w:szCs w:val="20"/>
          <w:lang w:val="en-US" w:eastAsia="zh-CN"/>
        </w:rPr>
        <w:t xml:space="preserve">  </w:t>
      </w:r>
      <w:r>
        <w:rPr>
          <w:rFonts w:hint="eastAsia" w:ascii="宋体" w:hAnsi="宋体" w:cs="宋体"/>
          <w:sz w:val="20"/>
          <w:szCs w:val="20"/>
        </w:rPr>
        <w:t>月</w:t>
      </w:r>
      <w:r>
        <w:rPr>
          <w:rFonts w:hint="eastAsia" w:ascii="宋体" w:hAnsi="宋体" w:cs="宋体"/>
          <w:sz w:val="20"/>
          <w:szCs w:val="20"/>
          <w:lang w:val="en-US" w:eastAsia="zh-CN"/>
        </w:rPr>
        <w:t xml:space="preserve">  </w:t>
      </w:r>
      <w:r>
        <w:rPr>
          <w:rFonts w:hint="eastAsia" w:ascii="宋体" w:hAnsi="宋体" w:cs="宋体"/>
          <w:sz w:val="20"/>
          <w:szCs w:val="20"/>
        </w:rPr>
        <w:t>日</w:t>
      </w:r>
      <w:bookmarkStart w:id="0" w:name="_GoBack"/>
      <w:bookmarkEnd w:id="0"/>
    </w:p>
    <w:sectPr>
      <w:footerReference r:id="rId3" w:type="default"/>
      <w:footerReference r:id="rId4" w:type="even"/>
      <w:pgSz w:w="11907" w:h="16840"/>
      <w:pgMar w:top="1418" w:right="1304" w:bottom="1134" w:left="1304" w:header="851" w:footer="992" w:gutter="0"/>
      <w:cols w:space="720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55ED7F45"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separate"/>
    </w:r>
    <w:r>
      <w:rPr>
        <w:rStyle w:val="7"/>
      </w:rPr>
      <w:t>1</w:t>
    </w:r>
    <w:r>
      <w:fldChar w:fldCharType="end"/>
    </w:r>
  </w:p>
  <w:p w14:paraId="50690861">
    <w:pPr>
      <w:pStyle w:val="2"/>
      <w:ind w:right="360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p w14:paraId="4B5975E3">
    <w:pPr>
      <w:pStyle w:val="2"/>
      <w:framePr w:wrap="around" w:vAnchor="text" w:hAnchor="margin" w:xAlign="right" w:y="1"/>
      <w:rPr>
        <w:rStyle w:val="7"/>
      </w:rPr>
    </w:pPr>
    <w:r>
      <w:fldChar w:fldCharType="begin"/>
    </w:r>
    <w:r>
      <w:rPr>
        <w:rStyle w:val="7"/>
      </w:rPr>
      <w:instrText xml:space="preserve">PAGE  </w:instrText>
    </w:r>
    <w:r>
      <w:fldChar w:fldCharType="end"/>
    </w:r>
  </w:p>
  <w:p w14:paraId="414B78C2">
    <w:pPr>
      <w:pStyle w:val="2"/>
      <w:ind w:right="360"/>
    </w:pPr>
  </w:p>
</w:ft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p14">
  <w:abstractNum w:abstractNumId="0">
    <w:nsid w:val="89D74313"/>
    <w:multiLevelType w:val="singleLevel"/>
    <w:tmpl w:val="89D74313"/>
    <w:lvl w:ilvl="0" w:tentative="0">
      <w:start w:val="2"/>
      <w:numFmt w:val="decimal"/>
      <w:suff w:val="nothing"/>
      <w:lvlText w:val="%1、"/>
      <w:lvlJc w:val="left"/>
    </w:lvl>
  </w:abstractNum>
  <w:abstractNum w:abstractNumId="1">
    <w:nsid w:val="A5CC0093"/>
    <w:multiLevelType w:val="singleLevel"/>
    <w:tmpl w:val="A5CC0093"/>
    <w:lvl w:ilvl="0" w:tentative="0">
      <w:start w:val="3"/>
      <w:numFmt w:val="decimal"/>
      <w:suff w:val="nothing"/>
      <w:lvlText w:val="%1、"/>
      <w:lvlJc w:val="left"/>
    </w:lvl>
  </w:abstractNum>
  <w:abstractNum w:abstractNumId="2">
    <w:nsid w:val="BD6C8D4E"/>
    <w:multiLevelType w:val="singleLevel"/>
    <w:tmpl w:val="BD6C8D4E"/>
    <w:lvl w:ilvl="0" w:tentative="0">
      <w:start w:val="2"/>
      <w:numFmt w:val="decimal"/>
      <w:suff w:val="nothing"/>
      <w:lvlText w:val="%1、"/>
      <w:lvlJc w:val="left"/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00"/>
  <w:embedSystemFonts/>
  <w:bordersDoNotSurroundHeader w:val="1"/>
  <w:bordersDoNotSurroundFooter w:val="1"/>
  <w:documentProtection w:enforcement="0"/>
  <w:defaultTabStop w:val="420"/>
  <w:drawingGridVerticalSpacing w:val="156"/>
  <w:displayHorizontalDrawingGridEvery w:val="0"/>
  <w:displayVerticalDrawingGridEvery w:val="2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3750027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Theme="minorHAnsi" w:hAnsiTheme="minorHAnsi" w:eastAsiaTheme="minorEastAsia" w:cstheme="minorBidi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qFormat="1" w:unhideWhenUsed="0" w:uiPriority="99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rPr>
      <w:rFonts w:ascii="Times New Roman" w:hAnsi="Times New Roman" w:eastAsia="宋体" w:cs="Times New Roman"/>
      <w:sz w:val="24"/>
      <w:szCs w:val="24"/>
      <w:lang w:val="en-US" w:eastAsia="zh-CN" w:bidi="ar-SA"/>
    </w:rPr>
  </w:style>
  <w:style w:type="character" w:default="1" w:styleId="5">
    <w:name w:val="Default Paragraph Font"/>
    <w:semiHidden/>
    <w:uiPriority w:val="0"/>
  </w:style>
  <w:style w:type="table" w:default="1" w:styleId="4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footer"/>
    <w:basedOn w:val="1"/>
    <w:uiPriority w:val="0"/>
    <w:pPr>
      <w:tabs>
        <w:tab w:val="center" w:pos="4153"/>
        <w:tab w:val="right" w:pos="8306"/>
      </w:tabs>
      <w:snapToGrid w:val="0"/>
    </w:pPr>
    <w:rPr>
      <w:sz w:val="18"/>
      <w:szCs w:val="18"/>
    </w:rPr>
  </w:style>
  <w:style w:type="paragraph" w:styleId="3">
    <w:name w:val="Normal (Web)"/>
    <w:basedOn w:val="1"/>
    <w:qFormat/>
    <w:uiPriority w:val="99"/>
    <w:pPr>
      <w:spacing w:before="100" w:beforeAutospacing="1" w:after="100" w:afterAutospacing="1"/>
      <w:ind w:left="0" w:right="0"/>
      <w:jc w:val="left"/>
    </w:pPr>
    <w:rPr>
      <w:kern w:val="0"/>
      <w:sz w:val="24"/>
      <w:lang w:val="en-US" w:eastAsia="zh-CN" w:bidi="ar"/>
    </w:rPr>
  </w:style>
  <w:style w:type="character" w:styleId="6">
    <w:name w:val="Strong"/>
    <w:basedOn w:val="5"/>
    <w:qFormat/>
    <w:uiPriority w:val="0"/>
    <w:rPr>
      <w:b/>
      <w:bCs/>
    </w:rPr>
  </w:style>
  <w:style w:type="character" w:styleId="7">
    <w:name w:val="page number"/>
    <w:basedOn w:val="5"/>
    <w:uiPriority w:val="0"/>
  </w:style>
  <w:style w:type="character" w:customStyle="1" w:styleId="8">
    <w:name w:val="help11"/>
    <w:uiPriority w:val="0"/>
    <w:rPr>
      <w:rFonts w:hint="default" w:ascii="Arial" w:hAnsi="Arial" w:cs="Arial"/>
      <w:b/>
      <w:bCs/>
      <w:sz w:val="21"/>
      <w:szCs w:val="21"/>
      <w:u w:val="none"/>
    </w:rPr>
  </w:style>
</w:styles>
</file>

<file path=word/_rels/document.xml.rels><?xml version="1.0" encoding="UTF-8" standalone="yes"?>
<Relationships xmlns="http://schemas.openxmlformats.org/package/2006/relationships"><Relationship Id="rId7" Type="http://schemas.openxmlformats.org/officeDocument/2006/relationships/fontTable" Target="fontTable.xml"/><Relationship Id="rId6" Type="http://schemas.openxmlformats.org/officeDocument/2006/relationships/numbering" Target="numbering.xml"/><Relationship Id="rId5" Type="http://schemas.openxmlformats.org/officeDocument/2006/relationships/theme" Target="theme/theme1.xml"/><Relationship Id="rId4" Type="http://schemas.openxmlformats.org/officeDocument/2006/relationships/footer" Target="footer2.xml"/><Relationship Id="rId3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0</Words>
  <Characters>0</Characters>
  <Lines>0</Lines>
  <Paragraphs>0</Paragraphs>
  <TotalTime>0</TotalTime>
  <ScaleCrop>false</ScaleCrop>
  <LinksUpToDate>false</LinksUpToDate>
  <CharactersWithSpaces>0</CharactersWithSpaces>
  <Application>WPS Office_12.1.0.23125_F1E327BC-269C-435d-A152-05C5408002CA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2025-10-16T07:26:26Z</dcterms:created>
  <dc:creator>WQR</dc:creator>
  <cp:lastModifiedBy>叶子</cp:lastModifiedBy>
  <dcterms:modified xsi:type="dcterms:W3CDTF">2025-10-16T07:27:00Z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2052-12.1.0.23125</vt:lpwstr>
  </property>
  <property fmtid="{D5CDD505-2E9C-101B-9397-08002B2CF9AE}" pid="3" name="KSOTemplateDocerSaveRecord">
    <vt:lpwstr>eyJoZGlkIjoiMzFiMGUzNGM3NTk4ZGI1ZTY0OTliMWE2NTE1MjI5NzEiLCJ1c2VySWQiOiI0NDUwOTgyOTEifQ==</vt:lpwstr>
  </property>
  <property fmtid="{D5CDD505-2E9C-101B-9397-08002B2CF9AE}" pid="4" name="ICV">
    <vt:lpwstr>23767C3DE047487CA3B7A557EA0FE879_12</vt:lpwstr>
  </property>
</Properties>
</file>