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47EBB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jc w:val="center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浙江兰溪储备粮公开竞价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>销售</w:t>
      </w:r>
      <w:r>
        <w:rPr>
          <w:rFonts w:hint="eastAsia" w:ascii="宋体" w:hAnsi="宋体"/>
          <w:b/>
          <w:sz w:val="32"/>
          <w:szCs w:val="32"/>
        </w:rPr>
        <w:t>粮油交割细则</w:t>
      </w:r>
    </w:p>
    <w:p w14:paraId="55553B9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jc w:val="center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（国粮浙交202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>5</w:t>
      </w:r>
      <w:r>
        <w:rPr>
          <w:rFonts w:hint="eastAsia" w:ascii="宋体" w:hAnsi="宋体"/>
          <w:b/>
          <w:sz w:val="32"/>
          <w:szCs w:val="32"/>
        </w:rPr>
        <w:t>第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>829</w:t>
      </w:r>
      <w:r>
        <w:rPr>
          <w:rFonts w:hint="eastAsia" w:ascii="宋体" w:hAnsi="宋体"/>
          <w:b/>
          <w:sz w:val="32"/>
          <w:szCs w:val="32"/>
        </w:rPr>
        <w:t>号）</w:t>
      </w:r>
    </w:p>
    <w:p w14:paraId="7D661CE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360" w:lineRule="auto"/>
        <w:ind w:firstLine="482" w:firstLineChars="200"/>
        <w:jc w:val="left"/>
        <w:textAlignment w:val="auto"/>
        <w:rPr>
          <w:rFonts w:hint="eastAsia" w:ascii="宋体" w:hAnsi="宋体" w:eastAsia="宋体"/>
          <w:b/>
          <w:bCs/>
          <w:sz w:val="24"/>
          <w:lang w:eastAsia="zh-CN"/>
        </w:rPr>
      </w:pPr>
      <w:r>
        <w:rPr>
          <w:rFonts w:hint="eastAsia" w:ascii="宋体" w:hAnsi="宋体"/>
          <w:b/>
          <w:bCs/>
          <w:sz w:val="24"/>
        </w:rPr>
        <w:t>一、数量、质量</w:t>
      </w:r>
      <w:r>
        <w:rPr>
          <w:rFonts w:hint="eastAsia" w:ascii="宋体" w:hAnsi="宋体"/>
          <w:b/>
          <w:bCs/>
          <w:sz w:val="24"/>
          <w:lang w:eastAsia="zh-CN"/>
        </w:rPr>
        <w:t>、包装</w:t>
      </w:r>
    </w:p>
    <w:p w14:paraId="59FE4AE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ascii="宋体" w:hAnsi="宋体" w:cs="宋体"/>
          <w:sz w:val="24"/>
        </w:rPr>
      </w:pPr>
      <w:r>
        <w:rPr>
          <w:rFonts w:hint="eastAsia" w:ascii="宋体" w:hAnsi="宋体"/>
          <w:sz w:val="24"/>
        </w:rPr>
        <w:t>1、数量：20</w:t>
      </w:r>
      <w:r>
        <w:rPr>
          <w:rFonts w:hint="eastAsia" w:ascii="宋体" w:hAnsi="宋体"/>
          <w:sz w:val="24"/>
          <w:lang w:val="en-US" w:eastAsia="zh-CN"/>
        </w:rPr>
        <w:t>22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lang w:val="en-US" w:eastAsia="zh-CN"/>
        </w:rPr>
        <w:t>安徽</w:t>
      </w:r>
      <w:r>
        <w:rPr>
          <w:rFonts w:hint="eastAsia" w:ascii="宋体" w:hAnsi="宋体"/>
          <w:sz w:val="24"/>
        </w:rPr>
        <w:t>产</w:t>
      </w:r>
      <w:r>
        <w:rPr>
          <w:rFonts w:hint="eastAsia" w:ascii="宋体" w:hAnsi="宋体"/>
          <w:sz w:val="24"/>
          <w:lang w:val="en-US" w:eastAsia="zh-CN"/>
        </w:rPr>
        <w:t>小麦1950</w:t>
      </w:r>
      <w:r>
        <w:rPr>
          <w:rFonts w:hint="eastAsia" w:ascii="宋体" w:hAnsi="宋体"/>
          <w:sz w:val="24"/>
        </w:rPr>
        <w:t>吨</w:t>
      </w:r>
      <w:r>
        <w:rPr>
          <w:rFonts w:hint="eastAsia" w:ascii="宋体" w:hAnsi="宋体"/>
          <w:sz w:val="24"/>
          <w:lang w:eastAsia="zh-CN"/>
        </w:rPr>
        <w:t>，</w:t>
      </w:r>
      <w:r>
        <w:rPr>
          <w:rFonts w:hint="eastAsia" w:ascii="宋体" w:hAnsi="宋体"/>
          <w:sz w:val="24"/>
        </w:rPr>
        <w:t>设</w:t>
      </w:r>
      <w:r>
        <w:rPr>
          <w:rFonts w:hint="eastAsia" w:ascii="宋体" w:hAnsi="宋体"/>
          <w:sz w:val="24"/>
          <w:lang w:val="en-US" w:eastAsia="zh-CN"/>
        </w:rPr>
        <w:t>1</w:t>
      </w:r>
      <w:r>
        <w:rPr>
          <w:rFonts w:hint="eastAsia" w:ascii="宋体" w:hAnsi="宋体"/>
          <w:sz w:val="24"/>
        </w:rPr>
        <w:t>个标段，详见交易清单</w:t>
      </w:r>
      <w:r>
        <w:rPr>
          <w:rFonts w:hint="eastAsia" w:ascii="宋体" w:hAnsi="宋体" w:cs="宋体"/>
          <w:sz w:val="24"/>
        </w:rPr>
        <w:t>。</w:t>
      </w:r>
    </w:p>
    <w:p w14:paraId="5706336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ind w:firstLine="480" w:firstLineChars="200"/>
        <w:textAlignment w:val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2、质量：</w:t>
      </w:r>
      <w:r>
        <w:rPr>
          <w:rFonts w:hint="eastAsia" w:ascii="宋体" w:hAnsi="宋体"/>
          <w:sz w:val="24"/>
          <w:lang w:eastAsia="zh-CN"/>
        </w:rPr>
        <w:t>详见质检报告，</w:t>
      </w:r>
      <w:r>
        <w:rPr>
          <w:rFonts w:hint="eastAsia" w:ascii="宋体" w:hAnsi="宋体" w:cs="Tahoma"/>
          <w:bCs/>
          <w:sz w:val="24"/>
        </w:rPr>
        <w:t>本次竞价销售活动经公告期和看样期后举行，请竞买方在规定看样时间内亲临储存库点实地看样，全面查验标的物质量、预包装食品标签等实际情况并查看相关质检报告，未看样的竞买方视为对标的物现状的确认。竞买方一旦做出竞价行为，即表明已完全了解并接受标的物的现状和一切已知及未知的瑕疵。委托方可向竞得方提供竞得粮食的检验报告。</w:t>
      </w:r>
    </w:p>
    <w:p w14:paraId="21E392C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ind w:firstLine="588" w:firstLineChars="245"/>
        <w:textAlignment w:val="auto"/>
        <w:rPr>
          <w:rFonts w:hint="eastAsia" w:ascii="黑体" w:hAnsi="宋体" w:eastAsia="黑体"/>
          <w:sz w:val="24"/>
        </w:rPr>
      </w:pPr>
      <w:r>
        <w:rPr>
          <w:rFonts w:hint="eastAsia" w:ascii="宋体" w:hAnsi="宋体"/>
          <w:sz w:val="24"/>
        </w:rPr>
        <w:t>3、散装。</w:t>
      </w:r>
      <w:r>
        <w:rPr>
          <w:rFonts w:ascii="宋体" w:hAnsi="宋体"/>
          <w:sz w:val="24"/>
        </w:rPr>
        <w:tab/>
      </w:r>
    </w:p>
    <w:p w14:paraId="3E7B85C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360" w:lineRule="auto"/>
        <w:ind w:firstLine="482" w:firstLineChars="200"/>
        <w:jc w:val="left"/>
        <w:textAlignment w:val="auto"/>
        <w:rPr>
          <w:rFonts w:hint="eastAsia"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  <w:lang w:val="en-US" w:eastAsia="zh-CN"/>
        </w:rPr>
        <w:t>二</w:t>
      </w:r>
      <w:r>
        <w:rPr>
          <w:rFonts w:hint="eastAsia" w:ascii="宋体" w:hAnsi="宋体"/>
          <w:b/>
          <w:bCs/>
          <w:sz w:val="24"/>
        </w:rPr>
        <w:t>、交货办法</w:t>
      </w:r>
    </w:p>
    <w:p w14:paraId="2148622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1、</w:t>
      </w:r>
      <w:r>
        <w:rPr>
          <w:rFonts w:hint="eastAsia" w:ascii="宋体" w:hAnsi="宋体"/>
          <w:sz w:val="24"/>
          <w:lang w:eastAsia="zh-CN"/>
        </w:rPr>
        <w:t>提</w:t>
      </w:r>
      <w:r>
        <w:rPr>
          <w:rFonts w:hint="eastAsia" w:ascii="宋体" w:hAnsi="宋体"/>
          <w:sz w:val="24"/>
        </w:rPr>
        <w:t>货时间：</w:t>
      </w:r>
      <w:bookmarkStart w:id="0" w:name="OLE_LINK1"/>
    </w:p>
    <w:bookmarkEnd w:id="0"/>
    <w:p w14:paraId="7664E3EF">
      <w:pPr>
        <w:adjustRightInd w:val="0"/>
        <w:snapToGrid w:val="0"/>
        <w:spacing w:line="360" w:lineRule="auto"/>
        <w:ind w:firstLine="482" w:firstLineChars="200"/>
        <w:rPr>
          <w:rFonts w:hint="eastAsia" w:ascii="宋体" w:hAnsi="宋体" w:eastAsia="宋体"/>
          <w:sz w:val="24"/>
          <w:lang w:eastAsia="zh-CN"/>
        </w:rPr>
      </w:pPr>
      <w:r>
        <w:rPr>
          <w:rFonts w:hint="eastAsia" w:ascii="宋体" w:hAnsi="宋体"/>
          <w:b/>
          <w:bCs/>
          <w:color w:val="FF0000"/>
          <w:sz w:val="24"/>
          <w:u w:val="none"/>
        </w:rPr>
        <w:t>202</w:t>
      </w:r>
      <w:r>
        <w:rPr>
          <w:rFonts w:hint="eastAsia" w:ascii="宋体" w:hAnsi="宋体"/>
          <w:b/>
          <w:bCs/>
          <w:color w:val="FF0000"/>
          <w:sz w:val="24"/>
          <w:u w:val="none"/>
          <w:lang w:val="en-US" w:eastAsia="zh-CN"/>
        </w:rPr>
        <w:t>5</w:t>
      </w:r>
      <w:r>
        <w:rPr>
          <w:rFonts w:hint="eastAsia" w:ascii="宋体" w:hAnsi="宋体"/>
          <w:b/>
          <w:bCs/>
          <w:color w:val="FF0000"/>
          <w:sz w:val="24"/>
          <w:u w:val="none"/>
        </w:rPr>
        <w:t>年</w:t>
      </w:r>
      <w:r>
        <w:rPr>
          <w:rFonts w:hint="eastAsia" w:ascii="宋体" w:hAnsi="宋体"/>
          <w:b/>
          <w:bCs/>
          <w:color w:val="FF0000"/>
          <w:sz w:val="24"/>
          <w:u w:val="none"/>
          <w:lang w:val="en-US" w:eastAsia="zh-CN"/>
        </w:rPr>
        <w:t>11</w:t>
      </w:r>
      <w:r>
        <w:rPr>
          <w:rFonts w:hint="eastAsia" w:ascii="宋体" w:hAnsi="宋体"/>
          <w:b/>
          <w:bCs/>
          <w:color w:val="FF0000"/>
          <w:sz w:val="24"/>
          <w:u w:val="none"/>
        </w:rPr>
        <w:t>月</w:t>
      </w:r>
      <w:r>
        <w:rPr>
          <w:rFonts w:hint="eastAsia" w:ascii="宋体" w:hAnsi="宋体"/>
          <w:b/>
          <w:bCs/>
          <w:color w:val="FF0000"/>
          <w:sz w:val="24"/>
          <w:u w:val="none"/>
          <w:lang w:val="en-US" w:eastAsia="zh-CN"/>
        </w:rPr>
        <w:t>30</w:t>
      </w:r>
      <w:r>
        <w:rPr>
          <w:rFonts w:hint="eastAsia" w:ascii="宋体" w:hAnsi="宋体"/>
          <w:b/>
          <w:bCs/>
          <w:color w:val="FF0000"/>
          <w:sz w:val="24"/>
          <w:u w:val="none"/>
        </w:rPr>
        <w:t>日止。</w:t>
      </w:r>
      <w:r>
        <w:rPr>
          <w:rFonts w:hint="eastAsia" w:ascii="宋体" w:hAnsi="宋体"/>
          <w:b/>
          <w:bCs/>
          <w:color w:val="FF0000"/>
          <w:sz w:val="24"/>
          <w:u w:val="none"/>
          <w:lang w:val="en-US" w:eastAsia="zh-CN"/>
        </w:rPr>
        <w:t>日均提货量不得小于150吨，日最大出库量为200吨左右，</w:t>
      </w:r>
      <w:r>
        <w:rPr>
          <w:rFonts w:hint="eastAsia" w:ascii="宋体" w:hAnsi="宋体"/>
          <w:b/>
          <w:bCs/>
          <w:color w:val="FF0000"/>
          <w:sz w:val="24"/>
          <w:u w:val="none"/>
          <w:lang w:eastAsia="zh-CN"/>
        </w:rPr>
        <w:t>不得逾期。</w:t>
      </w:r>
      <w:r>
        <w:rPr>
          <w:rFonts w:hint="eastAsia" w:ascii="宋体" w:hAnsi="宋体"/>
          <w:sz w:val="24"/>
        </w:rPr>
        <w:t>如超过期限，</w:t>
      </w:r>
      <w:r>
        <w:rPr>
          <w:rFonts w:hint="eastAsia" w:ascii="宋体" w:hAnsi="宋体" w:cs="宋体"/>
          <w:color w:val="000000"/>
          <w:sz w:val="24"/>
        </w:rPr>
        <w:t>委托方有权终止合同，竞得方承担相应违约责任。法定节假日不安排出库</w:t>
      </w:r>
      <w:r>
        <w:rPr>
          <w:rFonts w:hint="eastAsia" w:ascii="宋体" w:hAnsi="宋体" w:cs="宋体"/>
          <w:color w:val="000000"/>
          <w:sz w:val="24"/>
          <w:lang w:eastAsia="zh-CN"/>
        </w:rPr>
        <w:t>。</w:t>
      </w:r>
      <w:r>
        <w:rPr>
          <w:rFonts w:hint="eastAsia" w:ascii="宋体" w:hAnsi="宋体" w:cs="宋体"/>
          <w:color w:val="000000"/>
          <w:sz w:val="24"/>
        </w:rPr>
        <w:t>如遇雨天因委托方无法出库的则出库期限可顺延；若因不可抗力等原因造成逾期出库，双方可另行协商</w:t>
      </w:r>
      <w:r>
        <w:rPr>
          <w:rFonts w:hint="eastAsia" w:ascii="宋体" w:hAnsi="宋体" w:cs="宋体"/>
          <w:color w:val="000000"/>
          <w:sz w:val="24"/>
          <w:lang w:eastAsia="zh-CN"/>
        </w:rPr>
        <w:t>。</w:t>
      </w:r>
    </w:p>
    <w:p w14:paraId="249170B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  <w:lang w:val="en-US" w:eastAsia="zh-CN"/>
        </w:rPr>
        <w:t>2、</w:t>
      </w:r>
      <w:r>
        <w:rPr>
          <w:rFonts w:hint="eastAsia" w:ascii="宋体" w:hAnsi="宋体"/>
          <w:sz w:val="24"/>
        </w:rPr>
        <w:t xml:space="preserve">交货地点: </w:t>
      </w:r>
      <w:r>
        <w:rPr>
          <w:rFonts w:hint="eastAsia" w:ascii="宋体" w:hAnsi="宋体"/>
          <w:sz w:val="24"/>
          <w:u w:val="single"/>
        </w:rPr>
        <w:t>标的物所在粮库</w:t>
      </w:r>
      <w:r>
        <w:rPr>
          <w:rFonts w:hint="eastAsia" w:ascii="宋体" w:hAnsi="宋体"/>
          <w:sz w:val="24"/>
        </w:rPr>
        <w:t>；</w:t>
      </w:r>
    </w:p>
    <w:p w14:paraId="293BABD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40" w:lineRule="exact"/>
        <w:ind w:firstLine="480" w:firstLineChars="200"/>
        <w:textAlignment w:val="auto"/>
        <w:rPr>
          <w:rFonts w:hint="eastAsia" w:ascii="宋体" w:hAnsi="宋体"/>
          <w:sz w:val="24"/>
          <w:lang w:val="en-US" w:eastAsia="zh-CN"/>
        </w:rPr>
      </w:pPr>
      <w:r>
        <w:rPr>
          <w:rFonts w:hint="eastAsia" w:ascii="宋体" w:hAnsi="宋体"/>
          <w:sz w:val="24"/>
          <w:lang w:val="en-US" w:eastAsia="zh-CN"/>
        </w:rPr>
        <w:t>粮食储备中心，地址：兰溪市兰江街道兰荫新村。联系人：姚绍斌，电话：</w:t>
      </w:r>
      <w:r>
        <w:rPr>
          <w:rFonts w:hint="eastAsia" w:ascii="宋体" w:hAnsi="宋体"/>
          <w:sz w:val="24"/>
        </w:rPr>
        <w:t>19884519231</w:t>
      </w:r>
      <w:r>
        <w:rPr>
          <w:rFonts w:hint="eastAsia" w:ascii="宋体" w:hAnsi="宋体"/>
          <w:sz w:val="24"/>
          <w:lang w:val="en-US" w:eastAsia="zh-CN"/>
        </w:rPr>
        <w:t>。</w:t>
      </w:r>
    </w:p>
    <w:p w14:paraId="6F519F8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3、交货方式：</w:t>
      </w:r>
      <w:r>
        <w:rPr>
          <w:rFonts w:hint="eastAsia" w:ascii="宋体" w:hAnsi="宋体"/>
          <w:sz w:val="24"/>
          <w:u w:val="single"/>
        </w:rPr>
        <w:t>标的物所在仓库就仓提货</w:t>
      </w:r>
      <w:r>
        <w:rPr>
          <w:rFonts w:hint="eastAsia" w:ascii="宋体" w:hAnsi="宋体"/>
          <w:sz w:val="24"/>
        </w:rPr>
        <w:t>；</w:t>
      </w:r>
    </w:p>
    <w:p w14:paraId="2D0C998B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4、数量结算方式：以委托方仓库实际出库地磅数量为准</w:t>
      </w:r>
      <w:r>
        <w:rPr>
          <w:rFonts w:hint="eastAsia" w:ascii="宋体" w:hAnsi="宋体"/>
          <w:sz w:val="24"/>
          <w:u w:val="none"/>
        </w:rPr>
        <w:t>。</w:t>
      </w:r>
    </w:p>
    <w:p w14:paraId="66EAE101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sz w:val="24"/>
        </w:rPr>
        <w:t>5、货款结算方式：</w:t>
      </w:r>
      <w:r>
        <w:rPr>
          <w:rFonts w:hint="eastAsia" w:asciiTheme="minorEastAsia" w:hAnsiTheme="minorEastAsia" w:eastAsiaTheme="minorEastAsia" w:cstheme="minor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成交后两个工作日内签订购销合</w:t>
      </w:r>
      <w:r>
        <w:rPr>
          <w:rFonts w:hint="eastAsia" w:ascii="宋体" w:hAnsi="宋体"/>
          <w:sz w:val="24"/>
        </w:rPr>
        <w:t>同，</w:t>
      </w:r>
      <w:r>
        <w:rPr>
          <w:rFonts w:hint="eastAsia" w:asciiTheme="minorEastAsia" w:hAnsiTheme="minorEastAsia" w:eastAsiaTheme="minorEastAsia" w:cstheme="minor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先付款后提货。货款可分两次支付，</w:t>
      </w:r>
      <w:r>
        <w:rPr>
          <w:rFonts w:hint="eastAsia" w:ascii="宋体" w:hAnsi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宋体" w:hAnsi="宋体"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宋体" w:hAnsi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宋体" w:hAnsi="宋体"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宋体" w:hAnsi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宋体" w:hAnsi="宋体"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宋体" w:hAnsi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日前一次性支付50%</w:t>
      </w:r>
      <w:r>
        <w:rPr>
          <w:rFonts w:hint="eastAsia" w:ascii="宋体" w:hAnsi="宋体"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及</w:t>
      </w:r>
      <w:r>
        <w:rPr>
          <w:rFonts w:hint="eastAsia" w:ascii="宋体" w:hAnsi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以上货款，其余货款</w:t>
      </w:r>
      <w:r>
        <w:rPr>
          <w:rFonts w:hint="eastAsia" w:ascii="宋体" w:hAnsi="宋体"/>
          <w:color w:val="000000" w:themeColor="text1"/>
          <w:sz w:val="24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宋体" w:hAnsi="宋体"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含装卸费</w:t>
      </w:r>
      <w:r>
        <w:rPr>
          <w:rFonts w:hint="eastAsia" w:ascii="宋体" w:hAnsi="宋体"/>
          <w:color w:val="000000" w:themeColor="text1"/>
          <w:sz w:val="24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宋体" w:hAnsi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宋体" w:hAnsi="宋体"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宋体" w:hAnsi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宋体" w:hAnsi="宋体"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宋体" w:hAnsi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宋体" w:hAnsi="宋体"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12</w:t>
      </w:r>
      <w:bookmarkStart w:id="1" w:name="_GoBack"/>
      <w:bookmarkEnd w:id="1"/>
      <w:r>
        <w:rPr>
          <w:rFonts w:hint="eastAsia" w:ascii="宋体" w:hAnsi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日前一次性付清</w:t>
      </w:r>
      <w:r>
        <w:rPr>
          <w:rFonts w:hint="eastAsia" w:ascii="宋体" w:hAnsi="宋体" w:cs="宋体"/>
          <w:color w:val="000000" w:themeColor="text1"/>
          <w:sz w:val="24"/>
          <w14:textFill>
            <w14:solidFill>
              <w14:schemeClr w14:val="tx1"/>
            </w14:solidFill>
          </w14:textFill>
        </w:rPr>
        <w:t>，逾期未付清的视作竞得方违约，没收缴存在交易中心的全部履约保证金，转作违约赔偿金，未付清标段合同终止。</w:t>
      </w:r>
    </w:p>
    <w:p w14:paraId="4219BEC0">
      <w:pPr>
        <w:adjustRightInd w:val="0"/>
        <w:snapToGrid w:val="0"/>
        <w:spacing w:line="360" w:lineRule="auto"/>
        <w:ind w:firstLine="602" w:firstLineChars="250"/>
        <w:rPr>
          <w:rStyle w:val="7"/>
          <w:rFonts w:ascii="宋体" w:hAnsi="宋体" w:cs="宋体"/>
          <w:color w:val="FF0000"/>
          <w:sz w:val="24"/>
        </w:rPr>
      </w:pPr>
      <w:r>
        <w:rPr>
          <w:rStyle w:val="7"/>
          <w:rFonts w:hint="eastAsia" w:ascii="宋体" w:hAnsi="宋体" w:cs="宋体"/>
          <w:color w:val="FF0000"/>
          <w:sz w:val="24"/>
        </w:rPr>
        <w:t>1、粮食短少。该仓发货总数少于标的数量的，由委托方负责向竞得方补足数量或者按</w:t>
      </w:r>
      <w:r>
        <w:rPr>
          <w:rStyle w:val="7"/>
          <w:rFonts w:hint="eastAsia" w:ascii="宋体" w:hAnsi="宋体" w:cs="宋体"/>
          <w:color w:val="FF0000"/>
          <w:sz w:val="24"/>
          <w:lang w:val="en-US" w:eastAsia="zh-CN"/>
        </w:rPr>
        <w:t>成交价</w:t>
      </w:r>
      <w:r>
        <w:rPr>
          <w:rStyle w:val="7"/>
          <w:rFonts w:hint="eastAsia" w:ascii="宋体" w:hAnsi="宋体" w:cs="宋体"/>
          <w:color w:val="FF0000"/>
          <w:sz w:val="24"/>
        </w:rPr>
        <w:t>退还不足部分的货款；</w:t>
      </w:r>
    </w:p>
    <w:p w14:paraId="45CC5969">
      <w:pPr>
        <w:adjustRightInd w:val="0"/>
        <w:snapToGrid w:val="0"/>
        <w:spacing w:line="360" w:lineRule="auto"/>
        <w:rPr>
          <w:rFonts w:hint="eastAsia" w:ascii="宋体" w:hAnsi="宋体" w:eastAsia="宋体"/>
          <w:sz w:val="24"/>
          <w:lang w:eastAsia="zh-CN"/>
        </w:rPr>
      </w:pPr>
      <w:r>
        <w:rPr>
          <w:rStyle w:val="7"/>
          <w:rFonts w:hint="eastAsia" w:ascii="宋体" w:hAnsi="宋体" w:cs="宋体"/>
          <w:color w:val="FF0000"/>
          <w:sz w:val="24"/>
        </w:rPr>
        <w:t>   2.粮食溢余。该仓最后提货的竞得单位足量提货完成后仍有溢余的，溢余部分由该竞得单位按</w:t>
      </w:r>
      <w:r>
        <w:rPr>
          <w:rStyle w:val="7"/>
          <w:rFonts w:hint="eastAsia" w:ascii="宋体" w:hAnsi="宋体" w:cs="宋体"/>
          <w:color w:val="FF0000"/>
          <w:sz w:val="24"/>
          <w:lang w:val="en-US" w:eastAsia="zh-CN"/>
        </w:rPr>
        <w:t>成交价</w:t>
      </w:r>
      <w:r>
        <w:rPr>
          <w:rStyle w:val="7"/>
          <w:rFonts w:hint="eastAsia" w:ascii="宋体" w:hAnsi="宋体" w:cs="宋体"/>
          <w:color w:val="FF0000"/>
          <w:sz w:val="24"/>
        </w:rPr>
        <w:t>提货，货款交由委托方收取</w:t>
      </w:r>
      <w:r>
        <w:rPr>
          <w:rStyle w:val="7"/>
          <w:rFonts w:hint="eastAsia" w:ascii="宋体" w:hAnsi="宋体" w:cs="宋体"/>
          <w:color w:val="FF0000"/>
          <w:sz w:val="24"/>
          <w:lang w:eastAsia="zh-CN"/>
        </w:rPr>
        <w:t>。</w:t>
      </w:r>
    </w:p>
    <w:p w14:paraId="124D648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textAlignment w:val="auto"/>
        <w:rPr>
          <w:rFonts w:hint="eastAsia" w:ascii="黑体" w:hAnsi="宋体" w:eastAsia="黑体"/>
          <w:sz w:val="28"/>
        </w:rPr>
      </w:pPr>
      <w:r>
        <w:rPr>
          <w:rFonts w:hint="eastAsia" w:ascii="宋体" w:hAnsi="宋体"/>
          <w:b/>
          <w:bCs/>
          <w:sz w:val="24"/>
          <w:lang w:val="en-US" w:eastAsia="zh-CN"/>
        </w:rPr>
        <w:t>四、其它说明</w:t>
      </w:r>
    </w:p>
    <w:p w14:paraId="4CE81F0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1、散装出库.                     </w:t>
      </w:r>
    </w:p>
    <w:p w14:paraId="0F1D815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ind w:firstLine="480" w:firstLineChars="200"/>
        <w:textAlignment w:val="auto"/>
        <w:rPr>
          <w:rFonts w:hint="eastAsia"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2、</w:t>
      </w:r>
      <w:r>
        <w:rPr>
          <w:rFonts w:hint="eastAsia" w:ascii="宋体" w:hAnsi="宋体"/>
          <w:sz w:val="24"/>
          <w:u w:val="single"/>
        </w:rPr>
        <w:t>汽车板前费用:20元/吨</w:t>
      </w:r>
      <w:r>
        <w:rPr>
          <w:rFonts w:hint="eastAsia" w:ascii="宋体" w:hAnsi="宋体"/>
          <w:sz w:val="24"/>
        </w:rPr>
        <w:t>（由</w:t>
      </w:r>
      <w:r>
        <w:rPr>
          <w:rFonts w:hint="eastAsia" w:ascii="宋体" w:hAnsi="宋体"/>
          <w:sz w:val="24"/>
          <w:lang w:val="en-US" w:eastAsia="zh-CN"/>
        </w:rPr>
        <w:t>竞得方</w:t>
      </w:r>
      <w:r>
        <w:rPr>
          <w:rFonts w:hint="eastAsia" w:ascii="宋体" w:hAnsi="宋体"/>
          <w:sz w:val="24"/>
        </w:rPr>
        <w:t>承担，含地磅费）。</w:t>
      </w:r>
    </w:p>
    <w:p w14:paraId="00ECDDB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3、</w:t>
      </w:r>
      <w:r>
        <w:rPr>
          <w:rFonts w:hint="eastAsia" w:ascii="宋体" w:hAnsi="宋体"/>
          <w:sz w:val="24"/>
          <w:lang w:val="en-US" w:eastAsia="zh-CN"/>
        </w:rPr>
        <w:t>起始</w:t>
      </w:r>
      <w:r>
        <w:rPr>
          <w:rFonts w:hint="eastAsia" w:ascii="宋体" w:hAnsi="宋体"/>
          <w:sz w:val="24"/>
        </w:rPr>
        <w:t>价、成交价均指含税含发票。</w:t>
      </w:r>
    </w:p>
    <w:p w14:paraId="489E8C7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4、</w:t>
      </w:r>
      <w:r>
        <w:rPr>
          <w:rFonts w:hint="eastAsia" w:ascii="宋体" w:hAnsi="宋体"/>
          <w:sz w:val="24"/>
          <w:lang w:val="en-US" w:eastAsia="zh-CN"/>
        </w:rPr>
        <w:t>委托方</w:t>
      </w:r>
      <w:r>
        <w:rPr>
          <w:rFonts w:hint="eastAsia" w:ascii="宋体" w:hAnsi="宋体"/>
          <w:sz w:val="24"/>
        </w:rPr>
        <w:t>提供正式销货发票，有关印花税等税款按国家有关规定由各自自行缴纳。</w:t>
      </w:r>
    </w:p>
    <w:p w14:paraId="5BC50BE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jc w:val="left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5、</w:t>
      </w:r>
      <w:r>
        <w:rPr>
          <w:rFonts w:hint="eastAsia" w:ascii="宋体" w:hAnsi="宋体"/>
          <w:sz w:val="24"/>
          <w:lang w:val="en-US" w:eastAsia="zh-CN"/>
        </w:rPr>
        <w:t>出</w:t>
      </w:r>
      <w:r>
        <w:rPr>
          <w:rFonts w:hint="eastAsia" w:ascii="宋体" w:hAnsi="宋体"/>
          <w:sz w:val="24"/>
        </w:rPr>
        <w:t>库</w:t>
      </w:r>
      <w:r>
        <w:rPr>
          <w:rFonts w:hint="eastAsia" w:ascii="宋体" w:hAnsi="宋体" w:cs="宋体"/>
          <w:sz w:val="24"/>
        </w:rPr>
        <w:t>限</w:t>
      </w:r>
      <w:r>
        <w:rPr>
          <w:rFonts w:hint="eastAsia" w:ascii="宋体" w:hAnsi="宋体" w:cs="宋体"/>
          <w:sz w:val="24"/>
          <w:u w:val="single"/>
          <w:lang w:val="en-US" w:eastAsia="zh-CN"/>
        </w:rPr>
        <w:t>65</w:t>
      </w:r>
      <w:r>
        <w:rPr>
          <w:rFonts w:hint="eastAsia" w:ascii="宋体" w:hAnsi="宋体" w:cs="宋体"/>
          <w:sz w:val="24"/>
        </w:rPr>
        <w:t>吨（含车身重量</w:t>
      </w:r>
      <w:r>
        <w:rPr>
          <w:rFonts w:hint="eastAsia" w:ascii="宋体" w:hAnsi="宋体" w:cs="宋体"/>
          <w:sz w:val="24"/>
          <w:lang w:val="en-US" w:eastAsia="zh-CN"/>
        </w:rPr>
        <w:t>和粮食重量</w:t>
      </w:r>
      <w:r>
        <w:rPr>
          <w:rFonts w:hint="eastAsia" w:ascii="宋体" w:hAnsi="宋体" w:cs="宋体"/>
          <w:sz w:val="24"/>
        </w:rPr>
        <w:t>）以下的车辆。</w:t>
      </w:r>
    </w:p>
    <w:p w14:paraId="563EFF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ind w:firstLine="480" w:firstLineChars="200"/>
        <w:textAlignment w:val="auto"/>
        <w:rPr>
          <w:rFonts w:hint="eastAsia" w:ascii="宋体" w:hAnsi="宋体"/>
          <w:sz w:val="24"/>
        </w:rPr>
      </w:pPr>
    </w:p>
    <w:p w14:paraId="75CB36A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320" w:firstLineChars="1800"/>
        <w:jc w:val="right"/>
        <w:textAlignment w:val="auto"/>
        <w:rPr>
          <w:rFonts w:hint="eastAsia" w:ascii="宋体" w:hAnsi="宋体" w:cs="宋体"/>
          <w:color w:val="000000"/>
          <w:kern w:val="0"/>
          <w:sz w:val="24"/>
        </w:rPr>
      </w:pPr>
    </w:p>
    <w:p w14:paraId="6DDBD64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320" w:firstLineChars="1800"/>
        <w:jc w:val="right"/>
        <w:textAlignment w:val="auto"/>
        <w:rPr>
          <w:rFonts w:ascii="宋体" w:hAnsi="宋体" w:cs="宋体"/>
          <w:color w:val="000000"/>
          <w:kern w:val="0"/>
          <w:sz w:val="24"/>
        </w:rPr>
      </w:pPr>
      <w:r>
        <w:rPr>
          <w:rFonts w:hint="eastAsia" w:ascii="宋体" w:hAnsi="宋体" w:cs="宋体"/>
          <w:color w:val="000000"/>
          <w:kern w:val="0"/>
          <w:sz w:val="24"/>
        </w:rPr>
        <w:t>国家粮食浙江交易中心金华分中心</w:t>
      </w:r>
    </w:p>
    <w:p w14:paraId="58052ED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280" w:firstLineChars="2200"/>
        <w:jc w:val="right"/>
        <w:textAlignment w:val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国家粮食浙江交易中心</w:t>
      </w:r>
    </w:p>
    <w:p w14:paraId="2344C7EF">
      <w:pPr>
        <w:spacing w:line="360" w:lineRule="auto"/>
        <w:ind w:firstLine="480" w:firstLineChars="200"/>
        <w:jc w:val="right"/>
      </w:pPr>
      <w:r>
        <w:rPr>
          <w:rFonts w:hint="eastAsia" w:ascii="宋体" w:hAnsi="宋体"/>
          <w:sz w:val="24"/>
        </w:rPr>
        <w:t xml:space="preserve">                                   二〇</w:t>
      </w:r>
      <w:r>
        <w:rPr>
          <w:rFonts w:hint="eastAsia" w:ascii="宋体" w:hAnsi="宋体"/>
          <w:sz w:val="24"/>
          <w:lang w:val="en-US" w:eastAsia="zh-CN"/>
        </w:rPr>
        <w:t>二五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lang w:val="en-US" w:eastAsia="zh-CN"/>
        </w:rPr>
        <w:t>十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lang w:val="en-US" w:eastAsia="zh-CN"/>
        </w:rPr>
        <w:t>十七</w:t>
      </w:r>
      <w:r>
        <w:rPr>
          <w:rFonts w:hint="eastAsia" w:ascii="宋体" w:hAnsi="宋体"/>
          <w:sz w:val="24"/>
        </w:rPr>
        <w:t>日</w:t>
      </w:r>
    </w:p>
    <w:p w14:paraId="245E03E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ind w:firstLine="420" w:firstLineChars="200"/>
        <w:jc w:val="right"/>
        <w:textAlignment w:val="auto"/>
      </w:pPr>
    </w:p>
    <w:p w14:paraId="1C2E0B0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ind w:firstLine="420" w:firstLineChars="200"/>
        <w:jc w:val="right"/>
        <w:textAlignment w:val="auto"/>
      </w:pPr>
    </w:p>
    <w:sectPr>
      <w:headerReference r:id="rId3" w:type="default"/>
      <w:pgSz w:w="11906" w:h="16838"/>
      <w:pgMar w:top="1440" w:right="1888" w:bottom="1440" w:left="179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72FF99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QxOGEyMzVmNzEyNWFhMTFmOGMyMGYwMmZkMmI4OWYifQ=="/>
  </w:docVars>
  <w:rsids>
    <w:rsidRoot w:val="1C633818"/>
    <w:rsid w:val="000F4488"/>
    <w:rsid w:val="000F7C94"/>
    <w:rsid w:val="00322345"/>
    <w:rsid w:val="00333866"/>
    <w:rsid w:val="004D7B59"/>
    <w:rsid w:val="004F6260"/>
    <w:rsid w:val="00562AA5"/>
    <w:rsid w:val="005B469F"/>
    <w:rsid w:val="00737651"/>
    <w:rsid w:val="007C3BF8"/>
    <w:rsid w:val="009C203A"/>
    <w:rsid w:val="00A41ACD"/>
    <w:rsid w:val="00C14952"/>
    <w:rsid w:val="00D95301"/>
    <w:rsid w:val="00F262C9"/>
    <w:rsid w:val="00FD416C"/>
    <w:rsid w:val="01B22602"/>
    <w:rsid w:val="02EB3A68"/>
    <w:rsid w:val="04566CC2"/>
    <w:rsid w:val="06DD79B0"/>
    <w:rsid w:val="08C51EAF"/>
    <w:rsid w:val="0B05745C"/>
    <w:rsid w:val="0B7068A0"/>
    <w:rsid w:val="0CA620EB"/>
    <w:rsid w:val="0CC71589"/>
    <w:rsid w:val="0CD312B0"/>
    <w:rsid w:val="0D18687C"/>
    <w:rsid w:val="0D58687D"/>
    <w:rsid w:val="0FFA11CC"/>
    <w:rsid w:val="12554F97"/>
    <w:rsid w:val="131C652A"/>
    <w:rsid w:val="134F2529"/>
    <w:rsid w:val="13B756A8"/>
    <w:rsid w:val="1B0C2558"/>
    <w:rsid w:val="1C633818"/>
    <w:rsid w:val="1E677F29"/>
    <w:rsid w:val="21347676"/>
    <w:rsid w:val="24044DF6"/>
    <w:rsid w:val="27706BF2"/>
    <w:rsid w:val="295269BA"/>
    <w:rsid w:val="298F08A4"/>
    <w:rsid w:val="2A9403F7"/>
    <w:rsid w:val="2BAB06A4"/>
    <w:rsid w:val="2D5B0309"/>
    <w:rsid w:val="2E7C59B9"/>
    <w:rsid w:val="312656E8"/>
    <w:rsid w:val="32575120"/>
    <w:rsid w:val="35147438"/>
    <w:rsid w:val="36107BED"/>
    <w:rsid w:val="39AF17CD"/>
    <w:rsid w:val="3B59162E"/>
    <w:rsid w:val="3BF66883"/>
    <w:rsid w:val="3D3F27A6"/>
    <w:rsid w:val="3DE13F5A"/>
    <w:rsid w:val="3E29331D"/>
    <w:rsid w:val="3E2C3518"/>
    <w:rsid w:val="3F2C0309"/>
    <w:rsid w:val="40A02839"/>
    <w:rsid w:val="4186634F"/>
    <w:rsid w:val="41AF1914"/>
    <w:rsid w:val="423F58B2"/>
    <w:rsid w:val="43B92A76"/>
    <w:rsid w:val="43FA295F"/>
    <w:rsid w:val="44EC6404"/>
    <w:rsid w:val="46075C87"/>
    <w:rsid w:val="46F3506F"/>
    <w:rsid w:val="47EC774F"/>
    <w:rsid w:val="489A456B"/>
    <w:rsid w:val="49282B7D"/>
    <w:rsid w:val="4D794C62"/>
    <w:rsid w:val="4E1C695C"/>
    <w:rsid w:val="4E4E2752"/>
    <w:rsid w:val="4FC21E17"/>
    <w:rsid w:val="50A52453"/>
    <w:rsid w:val="50D71750"/>
    <w:rsid w:val="51F54ACB"/>
    <w:rsid w:val="53581134"/>
    <w:rsid w:val="539409C3"/>
    <w:rsid w:val="560C6ED0"/>
    <w:rsid w:val="566F6611"/>
    <w:rsid w:val="5BAB25E7"/>
    <w:rsid w:val="5C95363B"/>
    <w:rsid w:val="5D0E2935"/>
    <w:rsid w:val="5DF87F9C"/>
    <w:rsid w:val="5E2F4169"/>
    <w:rsid w:val="5F397F1D"/>
    <w:rsid w:val="6181433F"/>
    <w:rsid w:val="620D6222"/>
    <w:rsid w:val="627D0485"/>
    <w:rsid w:val="628854C5"/>
    <w:rsid w:val="63C25448"/>
    <w:rsid w:val="64E33DF4"/>
    <w:rsid w:val="669C6524"/>
    <w:rsid w:val="66EB221B"/>
    <w:rsid w:val="67BD2E8A"/>
    <w:rsid w:val="6BAA7419"/>
    <w:rsid w:val="6C1E6D37"/>
    <w:rsid w:val="6C78121A"/>
    <w:rsid w:val="6E2B0FEE"/>
    <w:rsid w:val="70D64156"/>
    <w:rsid w:val="70EF5C3A"/>
    <w:rsid w:val="71145F3E"/>
    <w:rsid w:val="73197301"/>
    <w:rsid w:val="76040EEB"/>
    <w:rsid w:val="775E76FA"/>
    <w:rsid w:val="7CD3457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7">
    <w:name w:val="Strong"/>
    <w:basedOn w:val="6"/>
    <w:qFormat/>
    <w:uiPriority w:val="0"/>
    <w:rPr>
      <w:b/>
    </w:rPr>
  </w:style>
  <w:style w:type="character" w:customStyle="1" w:styleId="8">
    <w:name w:val="页脚 Char"/>
    <w:basedOn w:val="6"/>
    <w:link w:val="2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863</Words>
  <Characters>908</Characters>
  <Lines>1</Lines>
  <Paragraphs>3</Paragraphs>
  <TotalTime>0</TotalTime>
  <ScaleCrop>false</ScaleCrop>
  <LinksUpToDate>false</LinksUpToDate>
  <CharactersWithSpaces>969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2022-03-10T06:50:00Z</dcterms:created>
  <dc:creator>大哥大</dc:creator>
  <cp:lastModifiedBy>叶子</cp:lastModifiedBy>
  <cp:lastPrinted>2022-04-28T05:06:00Z</cp:lastPrinted>
  <dcterms:modified xsi:type="dcterms:W3CDTF">2025-10-17T05:36:02Z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B342E1D12D35445D9164FC708BBE41EB_13</vt:lpwstr>
  </property>
  <property fmtid="{D5CDD505-2E9C-101B-9397-08002B2CF9AE}" pid="4" name="commondata">
    <vt:lpwstr>eyJoZGlkIjoiOGNjMTYyNWE5YjIzZDVmNTRmMDgxMzFkMTNiMjlkNzgifQ==</vt:lpwstr>
  </property>
  <property fmtid="{D5CDD505-2E9C-101B-9397-08002B2CF9AE}" pid="5" name="KSOTemplateDocerSaveRecord">
    <vt:lpwstr>eyJoZGlkIjoiMmQxOGEyMzVmNzEyNWFhMTFmOGMyMGYwMmZkMmI4OWYiLCJ1c2VySWQiOiI0NDUwOTgyOTEifQ==</vt:lpwstr>
  </property>
</Properties>
</file>