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8B31D5">
      <w:pPr>
        <w:keepNext w:val="0"/>
        <w:keepLines w:val="0"/>
        <w:pageBreakBefore w:val="0"/>
        <w:widowControl/>
        <w:kinsoku/>
        <w:wordWrap/>
        <w:overflowPunct/>
        <w:topLinePunct w:val="0"/>
        <w:autoSpaceDE/>
        <w:autoSpaceDN/>
        <w:bidi w:val="0"/>
        <w:adjustRightInd/>
        <w:snapToGrid/>
        <w:jc w:val="center"/>
        <w:textAlignment w:val="auto"/>
        <w:rPr>
          <w:rFonts w:hint="eastAsia" w:ascii="方正小标宋简体" w:hAnsi="方正小标宋简体" w:eastAsia="方正小标宋简体" w:cs="方正小标宋简体"/>
          <w:b w:val="0"/>
          <w:bCs/>
          <w:sz w:val="44"/>
          <w:szCs w:val="32"/>
        </w:rPr>
      </w:pPr>
      <w:r>
        <w:rPr>
          <w:rFonts w:hint="eastAsia" w:ascii="方正小标宋简体" w:hAnsi="方正小标宋简体" w:eastAsia="方正小标宋简体" w:cs="方正小标宋简体"/>
          <w:b w:val="0"/>
          <w:bCs/>
          <w:sz w:val="44"/>
          <w:szCs w:val="32"/>
        </w:rPr>
        <w:t>粮食购销合同</w:t>
      </w:r>
    </w:p>
    <w:p w14:paraId="31A156B3">
      <w:pPr>
        <w:keepNext w:val="0"/>
        <w:keepLines w:val="0"/>
        <w:pageBreakBefore w:val="0"/>
        <w:widowControl/>
        <w:kinsoku/>
        <w:wordWrap/>
        <w:overflowPunct/>
        <w:topLinePunct w:val="0"/>
        <w:autoSpaceDE/>
        <w:autoSpaceDN/>
        <w:bidi w:val="0"/>
        <w:adjustRightInd/>
        <w:snapToGrid/>
        <w:jc w:val="right"/>
        <w:textAlignment w:val="auto"/>
        <w:rPr>
          <w:rStyle w:val="13"/>
          <w:rFonts w:hint="default" w:ascii="仿宋_GB2312" w:hAnsi="仿宋_GB2312" w:eastAsia="仿宋_GB2312" w:cs="仿宋_GB2312"/>
          <w:b w:val="0"/>
          <w:bCs w:val="0"/>
          <w:lang w:val="en-US" w:eastAsia="zh-CN"/>
        </w:rPr>
      </w:pPr>
      <w:r>
        <w:rPr>
          <w:rStyle w:val="13"/>
          <w:rFonts w:hint="eastAsia" w:ascii="仿宋_GB2312" w:hAnsi="仿宋_GB2312" w:eastAsia="仿宋_GB2312" w:cs="仿宋_GB2312"/>
          <w:b w:val="0"/>
          <w:bCs w:val="0"/>
          <w:sz w:val="28"/>
          <w:szCs w:val="28"/>
        </w:rPr>
        <w:t>合同编号：</w:t>
      </w:r>
      <w:r>
        <w:rPr>
          <w:rStyle w:val="13"/>
          <w:rFonts w:hint="eastAsia" w:ascii="仿宋_GB2312" w:hAnsi="仿宋_GB2312" w:eastAsia="仿宋_GB2312" w:cs="仿宋_GB2312"/>
          <w:b w:val="0"/>
          <w:bCs w:val="0"/>
          <w:sz w:val="28"/>
          <w:szCs w:val="28"/>
          <w:lang w:val="en-US" w:eastAsia="zh-CN"/>
        </w:rPr>
        <w:t>CC-2025-XX</w:t>
      </w:r>
    </w:p>
    <w:p w14:paraId="30331EF9">
      <w:pPr>
        <w:keepNext w:val="0"/>
        <w:keepLines w:val="0"/>
        <w:pageBreakBefore w:val="0"/>
        <w:widowControl/>
        <w:kinsoku/>
        <w:wordWrap/>
        <w:overflowPunct/>
        <w:topLinePunct w:val="0"/>
        <w:autoSpaceDE/>
        <w:autoSpaceDN/>
        <w:bidi w:val="0"/>
        <w:adjustRightInd/>
        <w:snapToGrid/>
        <w:jc w:val="both"/>
        <w:textAlignment w:val="auto"/>
        <w:rPr>
          <w:rStyle w:val="13"/>
          <w:rFonts w:hint="default"/>
          <w:b w:val="0"/>
          <w:bCs w:val="0"/>
          <w:lang w:val="en-US" w:eastAsia="zh-CN"/>
        </w:rPr>
      </w:pPr>
    </w:p>
    <w:p w14:paraId="647D5ED7">
      <w:pPr>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bCs/>
          <w:sz w:val="32"/>
          <w:szCs w:val="32"/>
          <w:u w:val="single"/>
        </w:rPr>
      </w:pPr>
      <w:r>
        <w:rPr>
          <w:rFonts w:hint="eastAsia" w:ascii="仿宋_GB2312" w:hAnsi="仿宋_GB2312" w:eastAsia="仿宋_GB2312" w:cs="仿宋_GB2312"/>
          <w:bCs/>
          <w:sz w:val="32"/>
          <w:szCs w:val="32"/>
        </w:rPr>
        <w:t>甲方（卖方）：</w:t>
      </w:r>
      <w:r>
        <w:rPr>
          <w:rFonts w:hint="eastAsia" w:ascii="仿宋_GB2312" w:hAnsi="仿宋_GB2312" w:eastAsia="仿宋_GB2312" w:cs="仿宋_GB2312"/>
          <w:bCs/>
          <w:sz w:val="32"/>
          <w:szCs w:val="32"/>
          <w:u w:val="single"/>
        </w:rPr>
        <w:t xml:space="preserve">宁波市粮食收储有限公司 </w:t>
      </w:r>
    </w:p>
    <w:p w14:paraId="07CD1467">
      <w:pPr>
        <w:keepNext w:val="0"/>
        <w:keepLines w:val="0"/>
        <w:pageBreakBefore w:val="0"/>
        <w:widowControl/>
        <w:kinsoku/>
        <w:wordWrap/>
        <w:overflowPunct/>
        <w:topLinePunct w:val="0"/>
        <w:autoSpaceDE/>
        <w:autoSpaceDN/>
        <w:bidi w:val="0"/>
        <w:adjustRightInd/>
        <w:snapToGrid/>
        <w:spacing w:line="500" w:lineRule="exact"/>
        <w:textAlignment w:val="auto"/>
        <w:rPr>
          <w:rFonts w:hint="default" w:ascii="仿宋_GB2312" w:hAnsi="仿宋_GB2312" w:eastAsia="仿宋_GB2312" w:cs="仿宋_GB2312"/>
          <w:sz w:val="32"/>
          <w:szCs w:val="32"/>
          <w:u w:val="single"/>
          <w:lang w:val="en-US" w:eastAsia="zh-CN"/>
        </w:rPr>
      </w:pPr>
      <w:r>
        <w:rPr>
          <w:rFonts w:hint="eastAsia" w:ascii="仿宋_GB2312" w:hAnsi="仿宋_GB2312" w:eastAsia="仿宋_GB2312" w:cs="仿宋_GB2312"/>
          <w:bCs/>
          <w:sz w:val="32"/>
          <w:szCs w:val="32"/>
        </w:rPr>
        <w:t>乙方（买方）：</w:t>
      </w:r>
      <w:r>
        <w:rPr>
          <w:rFonts w:hint="eastAsia" w:ascii="仿宋_GB2312" w:hAnsi="仿宋_GB2312" w:eastAsia="仿宋_GB2312" w:cs="仿宋_GB2312"/>
          <w:bCs/>
          <w:sz w:val="32"/>
          <w:szCs w:val="32"/>
          <w:u w:val="single"/>
          <w:lang w:val="en-US" w:eastAsia="zh-CN"/>
        </w:rPr>
        <w:t>XXXXXXXXXXXXXXXXXXXXXX</w:t>
      </w:r>
    </w:p>
    <w:p w14:paraId="7A951A5C">
      <w:pPr>
        <w:keepNext w:val="0"/>
        <w:keepLines w:val="0"/>
        <w:pageBreakBefore w:val="0"/>
        <w:widowControl/>
        <w:kinsoku/>
        <w:wordWrap/>
        <w:overflowPunct/>
        <w:topLinePunct w:val="0"/>
        <w:autoSpaceDE/>
        <w:autoSpaceDN/>
        <w:bidi w:val="0"/>
        <w:adjustRightInd/>
        <w:snapToGrid/>
        <w:ind w:firstLine="640" w:firstLineChars="200"/>
        <w:textAlignment w:val="auto"/>
        <w:rPr>
          <w:rStyle w:val="13"/>
          <w:rFonts w:hint="eastAsia" w:ascii="仿宋_GB2312" w:hAnsi="仿宋_GB2312" w:eastAsia="仿宋_GB2312" w:cs="仿宋_GB2312"/>
          <w:b w:val="0"/>
          <w:bCs w:val="0"/>
          <w:sz w:val="32"/>
          <w:szCs w:val="32"/>
        </w:rPr>
      </w:pPr>
    </w:p>
    <w:p w14:paraId="2EAC9A08">
      <w:pPr>
        <w:keepNext w:val="0"/>
        <w:keepLines w:val="0"/>
        <w:pageBreakBefore w:val="0"/>
        <w:widowControl/>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甲方通过委托</w:t>
      </w:r>
      <w:r>
        <w:rPr>
          <w:rFonts w:hint="eastAsia" w:ascii="仿宋_GB2312" w:hAnsi="仿宋_GB2312" w:eastAsia="仿宋_GB2312" w:cs="仿宋_GB2312"/>
          <w:sz w:val="32"/>
          <w:szCs w:val="32"/>
          <w:lang w:val="en-US" w:eastAsia="zh-CN"/>
        </w:rPr>
        <w:t>国家粮食浙江交易中心</w:t>
      </w:r>
      <w:r>
        <w:rPr>
          <w:rFonts w:hint="eastAsia" w:ascii="仿宋_GB2312" w:hAnsi="仿宋_GB2312" w:eastAsia="仿宋_GB2312" w:cs="仿宋_GB2312"/>
          <w:sz w:val="32"/>
          <w:szCs w:val="32"/>
        </w:rPr>
        <w:t>发布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浙江宁波储备粮公开竞价销售公告（国粮浙交20</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第</w:t>
      </w:r>
      <w:r>
        <w:rPr>
          <w:rFonts w:hint="eastAsia" w:ascii="仿宋_GB2312" w:hAnsi="仿宋_GB2312" w:eastAsia="仿宋_GB2312" w:cs="仿宋_GB2312"/>
          <w:sz w:val="32"/>
          <w:szCs w:val="32"/>
          <w:highlight w:val="yellow"/>
          <w:lang w:val="en-US" w:eastAsia="zh-CN"/>
        </w:rPr>
        <w:t>XXX</w:t>
      </w:r>
      <w:r>
        <w:rPr>
          <w:rFonts w:hint="eastAsia" w:ascii="仿宋_GB2312" w:hAnsi="仿宋_GB2312" w:eastAsia="仿宋_GB2312" w:cs="仿宋_GB2312"/>
          <w:sz w:val="32"/>
          <w:szCs w:val="32"/>
        </w:rPr>
        <w:t>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竞价销售</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粳米</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，乙方参与竞价交易中标，双方以“</w:t>
      </w:r>
      <w:r>
        <w:rPr>
          <w:rFonts w:hint="eastAsia" w:ascii="仿宋_GB2312" w:hAnsi="仿宋_GB2312" w:eastAsia="仿宋_GB2312" w:cs="仿宋_GB2312"/>
          <w:sz w:val="32"/>
          <w:szCs w:val="32"/>
          <w:lang w:val="en-US" w:eastAsia="zh-CN"/>
        </w:rPr>
        <w:t>竞价交易竞得通知书</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浙江宁波储备粮公开竞价销售公告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等</w:t>
      </w:r>
      <w:r>
        <w:rPr>
          <w:rFonts w:hint="eastAsia" w:ascii="仿宋_GB2312" w:hAnsi="仿宋_GB2312" w:eastAsia="仿宋_GB2312" w:cs="仿宋_GB2312"/>
          <w:sz w:val="32"/>
          <w:szCs w:val="32"/>
        </w:rPr>
        <w:t>为依据实现交易。为明确双方责任，根据《</w:t>
      </w:r>
      <w:r>
        <w:rPr>
          <w:rFonts w:hint="eastAsia" w:ascii="仿宋_GB2312" w:hAnsi="仿宋_GB2312" w:eastAsia="仿宋_GB2312" w:cs="仿宋_GB2312"/>
          <w:sz w:val="32"/>
          <w:szCs w:val="32"/>
          <w:lang w:val="en-US" w:eastAsia="zh-CN"/>
        </w:rPr>
        <w:t>民法典</w:t>
      </w:r>
      <w:r>
        <w:rPr>
          <w:rFonts w:hint="eastAsia" w:ascii="仿宋_GB2312" w:hAnsi="仿宋_GB2312" w:eastAsia="仿宋_GB2312" w:cs="仿宋_GB2312"/>
          <w:sz w:val="32"/>
          <w:szCs w:val="32"/>
        </w:rPr>
        <w:t>》等的规定，特订立以下合同条款，以资共同遵守。</w:t>
      </w:r>
    </w:p>
    <w:p w14:paraId="265628FC">
      <w:pPr>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ascii="黑体" w:hAnsi="黑体" w:eastAsia="黑体" w:cs="黑体"/>
          <w:b w:val="0"/>
          <w:bCs w:val="0"/>
          <w:color w:val="000000"/>
          <w:sz w:val="32"/>
          <w:szCs w:val="32"/>
        </w:rPr>
      </w:pPr>
      <w:r>
        <w:rPr>
          <w:rFonts w:ascii="宋体" w:hAnsi="宋体" w:cs="Tahoma"/>
          <w:color w:val="000000"/>
          <w:sz w:val="28"/>
          <w:szCs w:val="28"/>
        </w:rPr>
        <mc:AlternateContent>
          <mc:Choice Requires="wps">
            <w:drawing>
              <wp:anchor distT="0" distB="0" distL="114300" distR="114300" simplePos="0" relativeHeight="251660288" behindDoc="0" locked="0" layoutInCell="1" allowOverlap="1">
                <wp:simplePos x="0" y="0"/>
                <wp:positionH relativeFrom="column">
                  <wp:posOffset>-320675</wp:posOffset>
                </wp:positionH>
                <wp:positionV relativeFrom="paragraph">
                  <wp:posOffset>728980</wp:posOffset>
                </wp:positionV>
                <wp:extent cx="5915660" cy="2181225"/>
                <wp:effectExtent l="0" t="0" r="0" b="0"/>
                <wp:wrapNone/>
                <wp:docPr id="1" name="文本框 2"/>
                <wp:cNvGraphicFramePr/>
                <a:graphic xmlns:a="http://schemas.openxmlformats.org/drawingml/2006/main">
                  <a:graphicData uri="http://schemas.microsoft.com/office/word/2010/wordprocessingShape">
                    <wps:wsp>
                      <wps:cNvSpPr txBox="1"/>
                      <wps:spPr>
                        <a:xfrm>
                          <a:off x="0" y="0"/>
                          <a:ext cx="5915660" cy="2181225"/>
                        </a:xfrm>
                        <a:prstGeom prst="rect">
                          <a:avLst/>
                        </a:prstGeom>
                        <a:noFill/>
                        <a:ln>
                          <a:noFill/>
                        </a:ln>
                      </wps:spPr>
                      <wps:txbx>
                        <w:txbxContent>
                          <w:tbl>
                            <w:tblPr>
                              <w:tblStyle w:val="11"/>
                              <w:tblW w:w="9180" w:type="dxa"/>
                              <w:tblInd w:w="0" w:type="dxa"/>
                              <w:tblLayout w:type="fixed"/>
                              <w:tblCellMar>
                                <w:top w:w="0" w:type="dxa"/>
                                <w:left w:w="108" w:type="dxa"/>
                                <w:bottom w:w="0" w:type="dxa"/>
                                <w:right w:w="108" w:type="dxa"/>
                              </w:tblCellMar>
                            </w:tblPr>
                            <w:tblGrid>
                              <w:gridCol w:w="1101"/>
                              <w:gridCol w:w="1134"/>
                              <w:gridCol w:w="1275"/>
                              <w:gridCol w:w="1560"/>
                              <w:gridCol w:w="1559"/>
                              <w:gridCol w:w="1246"/>
                              <w:gridCol w:w="1305"/>
                            </w:tblGrid>
                            <w:tr w14:paraId="7FF390F7">
                              <w:tblPrEx>
                                <w:tblCellMar>
                                  <w:top w:w="0" w:type="dxa"/>
                                  <w:left w:w="108" w:type="dxa"/>
                                  <w:bottom w:w="0" w:type="dxa"/>
                                  <w:right w:w="108" w:type="dxa"/>
                                </w:tblCellMar>
                              </w:tblPrEx>
                              <w:trPr>
                                <w:trHeight w:val="737" w:hRule="atLeast"/>
                              </w:trPr>
                              <w:tc>
                                <w:tcPr>
                                  <w:tcW w:w="1101" w:type="dxa"/>
                                  <w:tcBorders>
                                    <w:top w:val="single" w:color="auto" w:sz="8" w:space="0"/>
                                    <w:left w:val="single" w:color="auto" w:sz="8" w:space="0"/>
                                    <w:bottom w:val="single" w:color="auto" w:sz="8" w:space="0"/>
                                    <w:right w:val="single" w:color="auto" w:sz="8" w:space="0"/>
                                  </w:tcBorders>
                                  <w:vAlign w:val="center"/>
                                </w:tcPr>
                                <w:p w14:paraId="1C552271">
                                  <w:pPr>
                                    <w:jc w:val="center"/>
                                    <w:rPr>
                                      <w:rFonts w:hint="eastAsia" w:ascii="仿宋_GB2312" w:hAnsi="仿宋_GB2312" w:eastAsia="仿宋_GB2312" w:cs="仿宋_GB2312"/>
                                      <w:kern w:val="2"/>
                                    </w:rPr>
                                  </w:pPr>
                                  <w:r>
                                    <w:rPr>
                                      <w:rFonts w:hint="eastAsia" w:ascii="仿宋_GB2312" w:hAnsi="仿宋_GB2312" w:eastAsia="仿宋_GB2312" w:cs="仿宋_GB2312"/>
                                      <w:kern w:val="2"/>
                                    </w:rPr>
                                    <w:t>标的号</w:t>
                                  </w:r>
                                </w:p>
                              </w:tc>
                              <w:tc>
                                <w:tcPr>
                                  <w:tcW w:w="1134" w:type="dxa"/>
                                  <w:tcBorders>
                                    <w:top w:val="single" w:color="auto" w:sz="8" w:space="0"/>
                                    <w:left w:val="nil"/>
                                    <w:bottom w:val="single" w:color="auto" w:sz="8" w:space="0"/>
                                    <w:right w:val="single" w:color="auto" w:sz="8" w:space="0"/>
                                  </w:tcBorders>
                                  <w:vAlign w:val="center"/>
                                </w:tcPr>
                                <w:p w14:paraId="4098C7E2">
                                  <w:pPr>
                                    <w:jc w:val="center"/>
                                    <w:rPr>
                                      <w:rFonts w:hint="eastAsia" w:ascii="仿宋_GB2312" w:hAnsi="仿宋_GB2312" w:eastAsia="仿宋_GB2312" w:cs="仿宋_GB2312"/>
                                      <w:kern w:val="2"/>
                                    </w:rPr>
                                  </w:pPr>
                                  <w:r>
                                    <w:rPr>
                                      <w:rFonts w:hint="eastAsia" w:ascii="仿宋_GB2312" w:hAnsi="仿宋_GB2312" w:eastAsia="仿宋_GB2312" w:cs="仿宋_GB2312"/>
                                      <w:kern w:val="2"/>
                                    </w:rPr>
                                    <w:t>品种</w:t>
                                  </w:r>
                                </w:p>
                              </w:tc>
                              <w:tc>
                                <w:tcPr>
                                  <w:tcW w:w="1275" w:type="dxa"/>
                                  <w:tcBorders>
                                    <w:top w:val="single" w:color="auto" w:sz="8" w:space="0"/>
                                    <w:left w:val="nil"/>
                                    <w:bottom w:val="single" w:color="auto" w:sz="8" w:space="0"/>
                                    <w:right w:val="single" w:color="auto" w:sz="8" w:space="0"/>
                                  </w:tcBorders>
                                  <w:vAlign w:val="center"/>
                                </w:tcPr>
                                <w:p w14:paraId="68393BE8">
                                  <w:pPr>
                                    <w:jc w:val="center"/>
                                    <w:rPr>
                                      <w:rFonts w:hint="eastAsia" w:ascii="仿宋_GB2312" w:hAnsi="仿宋_GB2312" w:eastAsia="仿宋_GB2312" w:cs="仿宋_GB2312"/>
                                      <w:kern w:val="2"/>
                                    </w:rPr>
                                  </w:pPr>
                                  <w:r>
                                    <w:rPr>
                                      <w:rFonts w:hint="eastAsia" w:ascii="仿宋_GB2312" w:hAnsi="仿宋_GB2312" w:eastAsia="仿宋_GB2312" w:cs="仿宋_GB2312"/>
                                      <w:kern w:val="2"/>
                                    </w:rPr>
                                    <w:t>数量（吨）</w:t>
                                  </w:r>
                                </w:p>
                              </w:tc>
                              <w:tc>
                                <w:tcPr>
                                  <w:tcW w:w="1560" w:type="dxa"/>
                                  <w:tcBorders>
                                    <w:top w:val="single" w:color="auto" w:sz="8" w:space="0"/>
                                    <w:left w:val="nil"/>
                                    <w:bottom w:val="single" w:color="auto" w:sz="8" w:space="0"/>
                                    <w:right w:val="single" w:color="auto" w:sz="8" w:space="0"/>
                                  </w:tcBorders>
                                  <w:vAlign w:val="center"/>
                                </w:tcPr>
                                <w:p w14:paraId="2B3F2DC6">
                                  <w:pPr>
                                    <w:jc w:val="center"/>
                                    <w:rPr>
                                      <w:rFonts w:hint="eastAsia" w:ascii="仿宋_GB2312" w:hAnsi="仿宋_GB2312" w:eastAsia="仿宋_GB2312" w:cs="仿宋_GB2312"/>
                                      <w:kern w:val="2"/>
                                    </w:rPr>
                                  </w:pPr>
                                  <w:r>
                                    <w:rPr>
                                      <w:rFonts w:hint="eastAsia" w:ascii="仿宋_GB2312" w:hAnsi="仿宋_GB2312" w:eastAsia="仿宋_GB2312" w:cs="仿宋_GB2312"/>
                                      <w:kern w:val="2"/>
                                    </w:rPr>
                                    <w:t>价格（元/吨）</w:t>
                                  </w:r>
                                </w:p>
                              </w:tc>
                              <w:tc>
                                <w:tcPr>
                                  <w:tcW w:w="1559" w:type="dxa"/>
                                  <w:tcBorders>
                                    <w:top w:val="single" w:color="auto" w:sz="8" w:space="0"/>
                                    <w:left w:val="nil"/>
                                    <w:bottom w:val="single" w:color="auto" w:sz="8" w:space="0"/>
                                    <w:right w:val="single" w:color="auto" w:sz="8" w:space="0"/>
                                  </w:tcBorders>
                                  <w:vAlign w:val="center"/>
                                </w:tcPr>
                                <w:p w14:paraId="6CE65795">
                                  <w:pPr>
                                    <w:jc w:val="center"/>
                                    <w:rPr>
                                      <w:rFonts w:hint="eastAsia" w:ascii="仿宋_GB2312" w:hAnsi="仿宋_GB2312" w:eastAsia="仿宋_GB2312" w:cs="仿宋_GB2312"/>
                                      <w:kern w:val="2"/>
                                    </w:rPr>
                                  </w:pPr>
                                  <w:r>
                                    <w:rPr>
                                      <w:rFonts w:hint="eastAsia" w:ascii="仿宋_GB2312" w:hAnsi="仿宋_GB2312" w:eastAsia="仿宋_GB2312" w:cs="仿宋_GB2312"/>
                                      <w:kern w:val="2"/>
                                    </w:rPr>
                                    <w:t>交易额（元）</w:t>
                                  </w:r>
                                </w:p>
                              </w:tc>
                              <w:tc>
                                <w:tcPr>
                                  <w:tcW w:w="1246" w:type="dxa"/>
                                  <w:tcBorders>
                                    <w:top w:val="single" w:color="auto" w:sz="8" w:space="0"/>
                                    <w:left w:val="nil"/>
                                    <w:bottom w:val="single" w:color="auto" w:sz="8" w:space="0"/>
                                    <w:right w:val="single" w:color="auto" w:sz="8" w:space="0"/>
                                  </w:tcBorders>
                                  <w:vAlign w:val="center"/>
                                </w:tcPr>
                                <w:p w14:paraId="6A12C82B">
                                  <w:pPr>
                                    <w:jc w:val="center"/>
                                    <w:rPr>
                                      <w:rFonts w:hint="eastAsia" w:ascii="仿宋_GB2312" w:hAnsi="仿宋_GB2312" w:eastAsia="仿宋_GB2312" w:cs="仿宋_GB2312"/>
                                      <w:kern w:val="2"/>
                                    </w:rPr>
                                  </w:pPr>
                                  <w:r>
                                    <w:rPr>
                                      <w:rFonts w:hint="eastAsia" w:ascii="仿宋_GB2312" w:hAnsi="仿宋_GB2312" w:eastAsia="仿宋_GB2312" w:cs="仿宋_GB2312"/>
                                      <w:kern w:val="2"/>
                                    </w:rPr>
                                    <w:t>产地</w:t>
                                  </w:r>
                                </w:p>
                              </w:tc>
                              <w:tc>
                                <w:tcPr>
                                  <w:tcW w:w="1305" w:type="dxa"/>
                                  <w:tcBorders>
                                    <w:top w:val="single" w:color="auto" w:sz="8" w:space="0"/>
                                    <w:left w:val="nil"/>
                                    <w:bottom w:val="single" w:color="auto" w:sz="8" w:space="0"/>
                                    <w:right w:val="single" w:color="auto" w:sz="8" w:space="0"/>
                                  </w:tcBorders>
                                  <w:vAlign w:val="center"/>
                                </w:tcPr>
                                <w:p w14:paraId="011BC5BC">
                                  <w:pPr>
                                    <w:jc w:val="center"/>
                                    <w:rPr>
                                      <w:rFonts w:hint="eastAsia" w:ascii="仿宋_GB2312" w:hAnsi="仿宋_GB2312" w:eastAsia="仿宋_GB2312" w:cs="仿宋_GB2312"/>
                                      <w:kern w:val="2"/>
                                    </w:rPr>
                                  </w:pPr>
                                  <w:r>
                                    <w:rPr>
                                      <w:rFonts w:hint="eastAsia" w:ascii="仿宋_GB2312" w:hAnsi="仿宋_GB2312" w:eastAsia="仿宋_GB2312" w:cs="仿宋_GB2312"/>
                                      <w:kern w:val="2"/>
                                    </w:rPr>
                                    <w:t>生产年份</w:t>
                                  </w:r>
                                </w:p>
                              </w:tc>
                            </w:tr>
                            <w:tr w14:paraId="0C6AF37A">
                              <w:tblPrEx>
                                <w:tblCellMar>
                                  <w:top w:w="0" w:type="dxa"/>
                                  <w:left w:w="108" w:type="dxa"/>
                                  <w:bottom w:w="0" w:type="dxa"/>
                                  <w:right w:w="108" w:type="dxa"/>
                                </w:tblCellMar>
                              </w:tblPrEx>
                              <w:trPr>
                                <w:trHeight w:val="561" w:hRule="atLeast"/>
                              </w:trPr>
                              <w:tc>
                                <w:tcPr>
                                  <w:tcW w:w="1101" w:type="dxa"/>
                                  <w:tcBorders>
                                    <w:top w:val="nil"/>
                                    <w:left w:val="single" w:color="auto" w:sz="8" w:space="0"/>
                                    <w:bottom w:val="single" w:color="auto" w:sz="8" w:space="0"/>
                                    <w:right w:val="single" w:color="auto" w:sz="8" w:space="0"/>
                                  </w:tcBorders>
                                  <w:vAlign w:val="center"/>
                                </w:tcPr>
                                <w:p w14:paraId="6EF1CC6A">
                                  <w:pPr>
                                    <w:jc w:val="center"/>
                                    <w:rPr>
                                      <w:rFonts w:hint="default" w:ascii="仿宋_GB2312" w:hAnsi="仿宋_GB2312" w:eastAsia="仿宋_GB2312" w:cs="仿宋_GB2312"/>
                                      <w:kern w:val="2"/>
                                      <w:lang w:val="en-US" w:eastAsia="zh-CN"/>
                                    </w:rPr>
                                  </w:pPr>
                                </w:p>
                              </w:tc>
                              <w:tc>
                                <w:tcPr>
                                  <w:tcW w:w="1134" w:type="dxa"/>
                                  <w:tcBorders>
                                    <w:top w:val="nil"/>
                                    <w:left w:val="nil"/>
                                    <w:bottom w:val="single" w:color="auto" w:sz="8" w:space="0"/>
                                    <w:right w:val="single" w:color="auto" w:sz="8" w:space="0"/>
                                  </w:tcBorders>
                                  <w:vAlign w:val="center"/>
                                </w:tcPr>
                                <w:p w14:paraId="053AAFC3">
                                  <w:pPr>
                                    <w:jc w:val="center"/>
                                    <w:rPr>
                                      <w:rFonts w:hint="default" w:ascii="仿宋_GB2312" w:hAnsi="仿宋_GB2312" w:eastAsia="仿宋_GB2312" w:cs="仿宋_GB2312"/>
                                      <w:kern w:val="2"/>
                                      <w:lang w:val="en-US" w:eastAsia="zh-CN"/>
                                    </w:rPr>
                                  </w:pPr>
                                </w:p>
                              </w:tc>
                              <w:tc>
                                <w:tcPr>
                                  <w:tcW w:w="1275" w:type="dxa"/>
                                  <w:tcBorders>
                                    <w:top w:val="nil"/>
                                    <w:left w:val="nil"/>
                                    <w:bottom w:val="single" w:color="auto" w:sz="8" w:space="0"/>
                                    <w:right w:val="single" w:color="auto" w:sz="8" w:space="0"/>
                                  </w:tcBorders>
                                  <w:vAlign w:val="center"/>
                                </w:tcPr>
                                <w:p w14:paraId="33C2E687">
                                  <w:pPr>
                                    <w:jc w:val="center"/>
                                    <w:rPr>
                                      <w:rFonts w:hint="default" w:ascii="仿宋_GB2312" w:hAnsi="仿宋_GB2312" w:eastAsia="仿宋_GB2312" w:cs="仿宋_GB2312"/>
                                      <w:kern w:val="2"/>
                                      <w:lang w:val="en-US" w:eastAsia="zh-CN"/>
                                    </w:rPr>
                                  </w:pPr>
                                </w:p>
                              </w:tc>
                              <w:tc>
                                <w:tcPr>
                                  <w:tcW w:w="1560" w:type="dxa"/>
                                  <w:tcBorders>
                                    <w:top w:val="nil"/>
                                    <w:left w:val="nil"/>
                                    <w:bottom w:val="single" w:color="auto" w:sz="8" w:space="0"/>
                                    <w:right w:val="single" w:color="auto" w:sz="8" w:space="0"/>
                                  </w:tcBorders>
                                  <w:vAlign w:val="center"/>
                                </w:tcPr>
                                <w:p w14:paraId="0C6C19C2">
                                  <w:pPr>
                                    <w:jc w:val="center"/>
                                    <w:rPr>
                                      <w:rFonts w:hint="default" w:ascii="仿宋_GB2312" w:hAnsi="仿宋_GB2312" w:eastAsia="仿宋_GB2312" w:cs="仿宋_GB2312"/>
                                      <w:kern w:val="2"/>
                                      <w:lang w:val="en-US" w:eastAsia="zh-CN"/>
                                    </w:rPr>
                                  </w:pPr>
                                </w:p>
                              </w:tc>
                              <w:tc>
                                <w:tcPr>
                                  <w:tcW w:w="1559" w:type="dxa"/>
                                  <w:tcBorders>
                                    <w:top w:val="nil"/>
                                    <w:left w:val="nil"/>
                                    <w:bottom w:val="single" w:color="auto" w:sz="8" w:space="0"/>
                                    <w:right w:val="single" w:color="auto" w:sz="8" w:space="0"/>
                                  </w:tcBorders>
                                  <w:vAlign w:val="center"/>
                                </w:tcPr>
                                <w:p w14:paraId="45189770">
                                  <w:pPr>
                                    <w:jc w:val="center"/>
                                    <w:rPr>
                                      <w:rFonts w:hint="default" w:ascii="仿宋_GB2312" w:hAnsi="仿宋_GB2312" w:eastAsia="仿宋_GB2312" w:cs="仿宋_GB2312"/>
                                      <w:kern w:val="2"/>
                                      <w:lang w:val="en-US" w:eastAsia="zh-CN"/>
                                    </w:rPr>
                                  </w:pPr>
                                </w:p>
                              </w:tc>
                              <w:tc>
                                <w:tcPr>
                                  <w:tcW w:w="1246" w:type="dxa"/>
                                  <w:tcBorders>
                                    <w:top w:val="nil"/>
                                    <w:left w:val="nil"/>
                                    <w:bottom w:val="single" w:color="auto" w:sz="8" w:space="0"/>
                                    <w:right w:val="single" w:color="auto" w:sz="8" w:space="0"/>
                                  </w:tcBorders>
                                  <w:vAlign w:val="center"/>
                                </w:tcPr>
                                <w:p w14:paraId="57E46565">
                                  <w:pPr>
                                    <w:jc w:val="center"/>
                                    <w:rPr>
                                      <w:rFonts w:hint="default" w:ascii="仿宋_GB2312" w:hAnsi="仿宋_GB2312" w:eastAsia="仿宋_GB2312" w:cs="仿宋_GB2312"/>
                                      <w:kern w:val="2"/>
                                      <w:lang w:val="en-US" w:eastAsia="zh-CN"/>
                                    </w:rPr>
                                  </w:pPr>
                                </w:p>
                              </w:tc>
                              <w:tc>
                                <w:tcPr>
                                  <w:tcW w:w="1305" w:type="dxa"/>
                                  <w:tcBorders>
                                    <w:top w:val="nil"/>
                                    <w:left w:val="nil"/>
                                    <w:bottom w:val="single" w:color="auto" w:sz="8" w:space="0"/>
                                    <w:right w:val="single" w:color="auto" w:sz="8" w:space="0"/>
                                  </w:tcBorders>
                                  <w:vAlign w:val="center"/>
                                </w:tcPr>
                                <w:p w14:paraId="51B6B299">
                                  <w:pPr>
                                    <w:jc w:val="center"/>
                                    <w:rPr>
                                      <w:rFonts w:hint="default" w:ascii="仿宋_GB2312" w:hAnsi="仿宋_GB2312" w:eastAsia="仿宋_GB2312" w:cs="仿宋_GB2312"/>
                                      <w:kern w:val="2"/>
                                      <w:lang w:val="en-US" w:eastAsia="zh-CN"/>
                                    </w:rPr>
                                  </w:pPr>
                                </w:p>
                              </w:tc>
                            </w:tr>
                            <w:tr w14:paraId="6338F3CF">
                              <w:tblPrEx>
                                <w:tblCellMar>
                                  <w:top w:w="0" w:type="dxa"/>
                                  <w:left w:w="108" w:type="dxa"/>
                                  <w:bottom w:w="0" w:type="dxa"/>
                                  <w:right w:w="108" w:type="dxa"/>
                                </w:tblCellMar>
                              </w:tblPrEx>
                              <w:trPr>
                                <w:trHeight w:val="561" w:hRule="atLeast"/>
                              </w:trPr>
                              <w:tc>
                                <w:tcPr>
                                  <w:tcW w:w="1101" w:type="dxa"/>
                                  <w:tcBorders>
                                    <w:top w:val="nil"/>
                                    <w:left w:val="single" w:color="auto" w:sz="8" w:space="0"/>
                                    <w:bottom w:val="single" w:color="auto" w:sz="8" w:space="0"/>
                                    <w:right w:val="single" w:color="auto" w:sz="8" w:space="0"/>
                                  </w:tcBorders>
                                  <w:vAlign w:val="center"/>
                                </w:tcPr>
                                <w:p w14:paraId="2D5D2707">
                                  <w:pPr>
                                    <w:ind w:left="0" w:leftChars="0" w:firstLine="0" w:firstLineChars="0"/>
                                    <w:jc w:val="center"/>
                                    <w:rPr>
                                      <w:rFonts w:hint="default" w:ascii="仿宋_GB2312" w:hAnsi="仿宋_GB2312" w:eastAsia="仿宋_GB2312" w:cs="仿宋_GB2312"/>
                                      <w:kern w:val="2"/>
                                      <w:sz w:val="24"/>
                                      <w:szCs w:val="24"/>
                                      <w:lang w:val="en-US" w:eastAsia="zh-CN" w:bidi="ar-SA"/>
                                    </w:rPr>
                                  </w:pPr>
                                </w:p>
                              </w:tc>
                              <w:tc>
                                <w:tcPr>
                                  <w:tcW w:w="1134" w:type="dxa"/>
                                  <w:tcBorders>
                                    <w:top w:val="nil"/>
                                    <w:left w:val="nil"/>
                                    <w:bottom w:val="single" w:color="auto" w:sz="8" w:space="0"/>
                                    <w:right w:val="single" w:color="auto" w:sz="8" w:space="0"/>
                                  </w:tcBorders>
                                  <w:vAlign w:val="center"/>
                                </w:tcPr>
                                <w:p w14:paraId="592354EE">
                                  <w:pPr>
                                    <w:ind w:left="0" w:leftChars="0" w:firstLine="0" w:firstLineChars="0"/>
                                    <w:jc w:val="center"/>
                                    <w:rPr>
                                      <w:rFonts w:hint="default" w:ascii="仿宋_GB2312" w:hAnsi="仿宋_GB2312" w:eastAsia="仿宋_GB2312" w:cs="仿宋_GB2312"/>
                                      <w:kern w:val="2"/>
                                      <w:sz w:val="24"/>
                                      <w:szCs w:val="24"/>
                                      <w:lang w:val="en-US" w:eastAsia="zh-CN" w:bidi="ar-SA"/>
                                    </w:rPr>
                                  </w:pPr>
                                </w:p>
                              </w:tc>
                              <w:tc>
                                <w:tcPr>
                                  <w:tcW w:w="1275" w:type="dxa"/>
                                  <w:tcBorders>
                                    <w:top w:val="nil"/>
                                    <w:left w:val="nil"/>
                                    <w:bottom w:val="single" w:color="auto" w:sz="8" w:space="0"/>
                                    <w:right w:val="single" w:color="auto" w:sz="8" w:space="0"/>
                                  </w:tcBorders>
                                  <w:vAlign w:val="center"/>
                                </w:tcPr>
                                <w:p w14:paraId="60C266B9">
                                  <w:pPr>
                                    <w:ind w:left="0" w:leftChars="0" w:firstLine="0" w:firstLineChars="0"/>
                                    <w:jc w:val="center"/>
                                    <w:rPr>
                                      <w:rFonts w:hint="default" w:ascii="仿宋_GB2312" w:hAnsi="仿宋_GB2312" w:eastAsia="仿宋_GB2312" w:cs="仿宋_GB2312"/>
                                      <w:kern w:val="2"/>
                                      <w:sz w:val="24"/>
                                      <w:szCs w:val="24"/>
                                      <w:lang w:val="en-US" w:eastAsia="zh-CN" w:bidi="ar-SA"/>
                                    </w:rPr>
                                  </w:pPr>
                                </w:p>
                              </w:tc>
                              <w:tc>
                                <w:tcPr>
                                  <w:tcW w:w="1560" w:type="dxa"/>
                                  <w:tcBorders>
                                    <w:top w:val="nil"/>
                                    <w:left w:val="nil"/>
                                    <w:bottom w:val="single" w:color="auto" w:sz="8" w:space="0"/>
                                    <w:right w:val="single" w:color="auto" w:sz="8" w:space="0"/>
                                  </w:tcBorders>
                                  <w:vAlign w:val="center"/>
                                </w:tcPr>
                                <w:p w14:paraId="37385EF1">
                                  <w:pPr>
                                    <w:ind w:left="0" w:leftChars="0" w:firstLine="0" w:firstLineChars="0"/>
                                    <w:jc w:val="center"/>
                                    <w:rPr>
                                      <w:rFonts w:hint="default" w:ascii="仿宋_GB2312" w:hAnsi="仿宋_GB2312" w:eastAsia="仿宋_GB2312" w:cs="仿宋_GB2312"/>
                                      <w:kern w:val="2"/>
                                      <w:sz w:val="24"/>
                                      <w:szCs w:val="24"/>
                                      <w:lang w:val="en-US" w:eastAsia="zh-CN" w:bidi="ar-SA"/>
                                    </w:rPr>
                                  </w:pPr>
                                </w:p>
                              </w:tc>
                              <w:tc>
                                <w:tcPr>
                                  <w:tcW w:w="1559" w:type="dxa"/>
                                  <w:tcBorders>
                                    <w:top w:val="nil"/>
                                    <w:left w:val="nil"/>
                                    <w:bottom w:val="single" w:color="auto" w:sz="8" w:space="0"/>
                                    <w:right w:val="single" w:color="auto" w:sz="8" w:space="0"/>
                                  </w:tcBorders>
                                  <w:vAlign w:val="center"/>
                                </w:tcPr>
                                <w:p w14:paraId="3BCC70FD">
                                  <w:pPr>
                                    <w:ind w:left="0" w:leftChars="0" w:firstLine="0" w:firstLineChars="0"/>
                                    <w:jc w:val="center"/>
                                    <w:rPr>
                                      <w:rFonts w:hint="default" w:ascii="仿宋_GB2312" w:hAnsi="仿宋_GB2312" w:eastAsia="仿宋_GB2312" w:cs="仿宋_GB2312"/>
                                      <w:kern w:val="2"/>
                                      <w:sz w:val="24"/>
                                      <w:szCs w:val="24"/>
                                      <w:lang w:val="en-US" w:eastAsia="zh-CN" w:bidi="ar-SA"/>
                                    </w:rPr>
                                  </w:pPr>
                                </w:p>
                              </w:tc>
                              <w:tc>
                                <w:tcPr>
                                  <w:tcW w:w="1246" w:type="dxa"/>
                                  <w:tcBorders>
                                    <w:top w:val="nil"/>
                                    <w:left w:val="nil"/>
                                    <w:bottom w:val="single" w:color="auto" w:sz="8" w:space="0"/>
                                    <w:right w:val="single" w:color="auto" w:sz="8" w:space="0"/>
                                  </w:tcBorders>
                                  <w:vAlign w:val="center"/>
                                </w:tcPr>
                                <w:p w14:paraId="23E861CF">
                                  <w:pPr>
                                    <w:ind w:left="0" w:leftChars="0" w:firstLine="0" w:firstLineChars="0"/>
                                    <w:jc w:val="center"/>
                                    <w:rPr>
                                      <w:rFonts w:hint="default" w:ascii="仿宋_GB2312" w:hAnsi="仿宋_GB2312" w:eastAsia="仿宋_GB2312" w:cs="仿宋_GB2312"/>
                                      <w:kern w:val="2"/>
                                      <w:sz w:val="24"/>
                                      <w:szCs w:val="24"/>
                                      <w:lang w:val="en-US" w:eastAsia="zh-CN" w:bidi="ar-SA"/>
                                    </w:rPr>
                                  </w:pPr>
                                </w:p>
                              </w:tc>
                              <w:tc>
                                <w:tcPr>
                                  <w:tcW w:w="1305" w:type="dxa"/>
                                  <w:tcBorders>
                                    <w:top w:val="nil"/>
                                    <w:left w:val="nil"/>
                                    <w:bottom w:val="single" w:color="auto" w:sz="8" w:space="0"/>
                                    <w:right w:val="single" w:color="auto" w:sz="8" w:space="0"/>
                                  </w:tcBorders>
                                  <w:vAlign w:val="center"/>
                                </w:tcPr>
                                <w:p w14:paraId="468B747F">
                                  <w:pPr>
                                    <w:ind w:left="0" w:leftChars="0" w:firstLine="0" w:firstLineChars="0"/>
                                    <w:jc w:val="center"/>
                                    <w:rPr>
                                      <w:rFonts w:hint="default" w:ascii="仿宋_GB2312" w:hAnsi="仿宋_GB2312" w:eastAsia="仿宋_GB2312" w:cs="仿宋_GB2312"/>
                                      <w:kern w:val="2"/>
                                      <w:sz w:val="24"/>
                                      <w:szCs w:val="24"/>
                                      <w:lang w:val="en-US" w:eastAsia="zh-CN" w:bidi="ar-SA"/>
                                    </w:rPr>
                                  </w:pPr>
                                </w:p>
                              </w:tc>
                            </w:tr>
                            <w:tr w14:paraId="0EF26F94">
                              <w:tblPrEx>
                                <w:tblCellMar>
                                  <w:top w:w="0" w:type="dxa"/>
                                  <w:left w:w="108" w:type="dxa"/>
                                  <w:bottom w:w="0" w:type="dxa"/>
                                  <w:right w:w="108" w:type="dxa"/>
                                </w:tblCellMar>
                              </w:tblPrEx>
                              <w:trPr>
                                <w:trHeight w:val="561" w:hRule="atLeast"/>
                              </w:trPr>
                              <w:tc>
                                <w:tcPr>
                                  <w:tcW w:w="1101" w:type="dxa"/>
                                  <w:tcBorders>
                                    <w:top w:val="nil"/>
                                    <w:left w:val="single" w:color="auto" w:sz="8" w:space="0"/>
                                    <w:bottom w:val="single" w:color="auto" w:sz="8" w:space="0"/>
                                    <w:right w:val="single" w:color="auto" w:sz="8" w:space="0"/>
                                  </w:tcBorders>
                                  <w:vAlign w:val="center"/>
                                </w:tcPr>
                                <w:p w14:paraId="2542A592">
                                  <w:pPr>
                                    <w:jc w:val="center"/>
                                    <w:rPr>
                                      <w:rFonts w:hint="eastAsia" w:ascii="仿宋_GB2312" w:hAnsi="仿宋_GB2312" w:eastAsia="仿宋_GB2312" w:cs="仿宋_GB2312"/>
                                      <w:kern w:val="2"/>
                                    </w:rPr>
                                  </w:pPr>
                                  <w:r>
                                    <w:rPr>
                                      <w:rFonts w:hint="eastAsia" w:ascii="仿宋_GB2312" w:hAnsi="仿宋_GB2312" w:eastAsia="仿宋_GB2312" w:cs="仿宋_GB2312"/>
                                      <w:kern w:val="2"/>
                                    </w:rPr>
                                    <w:t>合计</w:t>
                                  </w:r>
                                </w:p>
                              </w:tc>
                              <w:tc>
                                <w:tcPr>
                                  <w:tcW w:w="1134" w:type="dxa"/>
                                  <w:tcBorders>
                                    <w:top w:val="nil"/>
                                    <w:left w:val="nil"/>
                                    <w:bottom w:val="single" w:color="auto" w:sz="8" w:space="0"/>
                                    <w:right w:val="single" w:color="auto" w:sz="8" w:space="0"/>
                                  </w:tcBorders>
                                  <w:vAlign w:val="center"/>
                                </w:tcPr>
                                <w:p w14:paraId="7306A35A">
                                  <w:pPr>
                                    <w:jc w:val="center"/>
                                    <w:rPr>
                                      <w:rFonts w:hint="eastAsia" w:ascii="仿宋_GB2312" w:hAnsi="仿宋_GB2312" w:eastAsia="仿宋_GB2312" w:cs="仿宋_GB2312"/>
                                      <w:kern w:val="2"/>
                                    </w:rPr>
                                  </w:pPr>
                                </w:p>
                              </w:tc>
                              <w:tc>
                                <w:tcPr>
                                  <w:tcW w:w="1275" w:type="dxa"/>
                                  <w:tcBorders>
                                    <w:top w:val="nil"/>
                                    <w:left w:val="nil"/>
                                    <w:bottom w:val="single" w:color="auto" w:sz="8" w:space="0"/>
                                    <w:right w:val="single" w:color="auto" w:sz="8" w:space="0"/>
                                  </w:tcBorders>
                                  <w:vAlign w:val="center"/>
                                </w:tcPr>
                                <w:p w14:paraId="0A7F0CDE">
                                  <w:pPr>
                                    <w:ind w:left="0" w:leftChars="0" w:firstLine="0" w:firstLineChars="0"/>
                                    <w:jc w:val="center"/>
                                    <w:rPr>
                                      <w:rFonts w:hint="default" w:ascii="仿宋_GB2312" w:hAnsi="仿宋_GB2312" w:eastAsia="仿宋_GB2312" w:cs="仿宋_GB2312"/>
                                      <w:kern w:val="2"/>
                                      <w:sz w:val="24"/>
                                      <w:szCs w:val="24"/>
                                      <w:lang w:val="en-US" w:eastAsia="zh-CN" w:bidi="ar-SA"/>
                                    </w:rPr>
                                  </w:pPr>
                                </w:p>
                              </w:tc>
                              <w:tc>
                                <w:tcPr>
                                  <w:tcW w:w="1560" w:type="dxa"/>
                                  <w:tcBorders>
                                    <w:top w:val="nil"/>
                                    <w:left w:val="nil"/>
                                    <w:bottom w:val="single" w:color="auto" w:sz="8" w:space="0"/>
                                    <w:right w:val="single" w:color="auto" w:sz="8" w:space="0"/>
                                  </w:tcBorders>
                                  <w:vAlign w:val="center"/>
                                </w:tcPr>
                                <w:p w14:paraId="5BA1D513">
                                  <w:pPr>
                                    <w:ind w:left="0" w:leftChars="0" w:firstLine="0" w:firstLineChars="0"/>
                                    <w:jc w:val="center"/>
                                    <w:rPr>
                                      <w:rFonts w:hint="eastAsia" w:ascii="仿宋_GB2312" w:hAnsi="仿宋_GB2312" w:eastAsia="仿宋_GB2312" w:cs="仿宋_GB2312"/>
                                      <w:kern w:val="2"/>
                                      <w:sz w:val="24"/>
                                      <w:szCs w:val="24"/>
                                      <w:lang w:val="en-US" w:eastAsia="zh-CN" w:bidi="ar-SA"/>
                                    </w:rPr>
                                  </w:pPr>
                                </w:p>
                              </w:tc>
                              <w:tc>
                                <w:tcPr>
                                  <w:tcW w:w="1559" w:type="dxa"/>
                                  <w:tcBorders>
                                    <w:top w:val="nil"/>
                                    <w:left w:val="nil"/>
                                    <w:bottom w:val="single" w:color="auto" w:sz="8" w:space="0"/>
                                    <w:right w:val="single" w:color="auto" w:sz="8" w:space="0"/>
                                  </w:tcBorders>
                                  <w:vAlign w:val="center"/>
                                </w:tcPr>
                                <w:p w14:paraId="6E464A03">
                                  <w:pPr>
                                    <w:ind w:left="0" w:leftChars="0" w:firstLine="0" w:firstLineChars="0"/>
                                    <w:jc w:val="center"/>
                                    <w:rPr>
                                      <w:rFonts w:hint="default" w:ascii="仿宋_GB2312" w:hAnsi="仿宋_GB2312" w:eastAsia="仿宋_GB2312" w:cs="仿宋_GB2312"/>
                                      <w:kern w:val="2"/>
                                      <w:sz w:val="24"/>
                                      <w:szCs w:val="24"/>
                                      <w:lang w:val="en-US" w:eastAsia="zh-CN" w:bidi="ar-SA"/>
                                    </w:rPr>
                                  </w:pPr>
                                </w:p>
                              </w:tc>
                              <w:tc>
                                <w:tcPr>
                                  <w:tcW w:w="1246" w:type="dxa"/>
                                  <w:tcBorders>
                                    <w:top w:val="nil"/>
                                    <w:left w:val="nil"/>
                                    <w:bottom w:val="single" w:color="auto" w:sz="8" w:space="0"/>
                                    <w:right w:val="single" w:color="auto" w:sz="8" w:space="0"/>
                                  </w:tcBorders>
                                  <w:vAlign w:val="center"/>
                                </w:tcPr>
                                <w:p w14:paraId="5E1E86D6">
                                  <w:pPr>
                                    <w:jc w:val="center"/>
                                    <w:rPr>
                                      <w:rFonts w:hint="eastAsia" w:ascii="仿宋_GB2312" w:hAnsi="仿宋_GB2312" w:eastAsia="仿宋_GB2312" w:cs="仿宋_GB2312"/>
                                      <w:kern w:val="2"/>
                                    </w:rPr>
                                  </w:pPr>
                                </w:p>
                              </w:tc>
                              <w:tc>
                                <w:tcPr>
                                  <w:tcW w:w="1305" w:type="dxa"/>
                                  <w:tcBorders>
                                    <w:top w:val="nil"/>
                                    <w:left w:val="nil"/>
                                    <w:bottom w:val="single" w:color="auto" w:sz="8" w:space="0"/>
                                    <w:right w:val="single" w:color="auto" w:sz="8" w:space="0"/>
                                  </w:tcBorders>
                                  <w:vAlign w:val="center"/>
                                </w:tcPr>
                                <w:p w14:paraId="1CE460EC">
                                  <w:pPr>
                                    <w:jc w:val="center"/>
                                    <w:rPr>
                                      <w:rFonts w:hint="eastAsia" w:ascii="仿宋_GB2312" w:hAnsi="仿宋_GB2312" w:eastAsia="仿宋_GB2312" w:cs="仿宋_GB2312"/>
                                      <w:kern w:val="2"/>
                                    </w:rPr>
                                  </w:pPr>
                                </w:p>
                              </w:tc>
                            </w:tr>
                            <w:tr w14:paraId="10628375">
                              <w:tblPrEx>
                                <w:tblCellMar>
                                  <w:top w:w="0" w:type="dxa"/>
                                  <w:left w:w="108" w:type="dxa"/>
                                  <w:bottom w:w="0" w:type="dxa"/>
                                  <w:right w:w="108" w:type="dxa"/>
                                </w:tblCellMar>
                              </w:tblPrEx>
                              <w:trPr>
                                <w:trHeight w:val="561" w:hRule="atLeast"/>
                              </w:trPr>
                              <w:tc>
                                <w:tcPr>
                                  <w:tcW w:w="9180" w:type="dxa"/>
                                  <w:gridSpan w:val="7"/>
                                  <w:tcBorders>
                                    <w:top w:val="nil"/>
                                    <w:left w:val="single" w:color="auto" w:sz="8" w:space="0"/>
                                    <w:bottom w:val="single" w:color="auto" w:sz="8" w:space="0"/>
                                    <w:right w:val="single" w:color="auto" w:sz="8" w:space="0"/>
                                  </w:tcBorders>
                                  <w:vAlign w:val="center"/>
                                </w:tcPr>
                                <w:p w14:paraId="2246389D">
                                  <w:pPr>
                                    <w:rPr>
                                      <w:rFonts w:hint="eastAsia" w:ascii="仿宋_GB2312" w:hAnsi="仿宋_GB2312" w:eastAsia="仿宋_GB2312" w:cs="仿宋_GB2312"/>
                                      <w:kern w:val="2"/>
                                      <w:lang w:val="en-US" w:eastAsia="zh-CN"/>
                                    </w:rPr>
                                  </w:pPr>
                                  <w:r>
                                    <w:rPr>
                                      <w:rFonts w:hint="eastAsia" w:ascii="仿宋_GB2312" w:hAnsi="仿宋_GB2312" w:eastAsia="仿宋_GB2312" w:cs="仿宋_GB2312"/>
                                      <w:kern w:val="2"/>
                                    </w:rPr>
                                    <w:t>总交易额（大写）：</w:t>
                                  </w:r>
                                  <w:r>
                                    <w:rPr>
                                      <w:rFonts w:hint="eastAsia" w:ascii="仿宋_GB2312" w:hAnsi="仿宋_GB2312" w:eastAsia="仿宋_GB2312" w:cs="仿宋_GB2312"/>
                                      <w:kern w:val="2"/>
                                      <w:lang w:val="en-US" w:eastAsia="zh-CN"/>
                                    </w:rPr>
                                    <w:t>元</w:t>
                                  </w:r>
                                  <w:r>
                                    <w:rPr>
                                      <w:rFonts w:hint="eastAsia" w:ascii="仿宋_GB2312" w:hAnsi="仿宋_GB2312" w:eastAsia="仿宋_GB2312" w:cs="仿宋_GB2312"/>
                                      <w:kern w:val="2"/>
                                    </w:rPr>
                                    <w:t>整</w:t>
                                  </w:r>
                                </w:p>
                              </w:tc>
                            </w:tr>
                          </w:tbl>
                          <w:p w14:paraId="6910ACB9"/>
                        </w:txbxContent>
                      </wps:txbx>
                      <wps:bodyPr upright="1"/>
                    </wps:wsp>
                  </a:graphicData>
                </a:graphic>
              </wp:anchor>
            </w:drawing>
          </mc:Choice>
          <mc:Fallback>
            <w:pict>
              <v:shape id="文本框 2" o:spid="_x0000_s1026" o:spt="202" type="#_x0000_t202" style="position:absolute;left:0pt;margin-left:-25.25pt;margin-top:57.4pt;height:171.75pt;width:465.8pt;z-index:251660288;mso-width-relative:page;mso-height-relative:page;" filled="f" stroked="f" coordsize="21600,21600" o:gfxdata="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O6pk+XXAAAA&#10;CwEAAA8AAAAAAAAAAQAgAAAAIgAAAGRycy9kb3ducmV2LnhtbFBLAQIUABQAAAAIAIdO4kDwDc7v&#10;rAEAAE8DAAAOAAAAAAAAAAEAIAAAACYBAABkcnMvZTJvRG9jLnhtbFBLBQYAAAAABgAGAFkBAABE&#10;BQAAAAA=&#10;">
                <v:fill on="f" focussize="0,0"/>
                <v:stroke on="f"/>
                <v:imagedata o:title=""/>
                <o:lock v:ext="edit" aspectratio="f"/>
                <v:textbox>
                  <w:txbxContent>
                    <w:tbl>
                      <w:tblPr>
                        <w:tblStyle w:val="11"/>
                        <w:tblW w:w="9180" w:type="dxa"/>
                        <w:tblInd w:w="0" w:type="dxa"/>
                        <w:tblLayout w:type="fixed"/>
                        <w:tblCellMar>
                          <w:top w:w="0" w:type="dxa"/>
                          <w:left w:w="108" w:type="dxa"/>
                          <w:bottom w:w="0" w:type="dxa"/>
                          <w:right w:w="108" w:type="dxa"/>
                        </w:tblCellMar>
                      </w:tblPr>
                      <w:tblGrid>
                        <w:gridCol w:w="1101"/>
                        <w:gridCol w:w="1134"/>
                        <w:gridCol w:w="1275"/>
                        <w:gridCol w:w="1560"/>
                        <w:gridCol w:w="1559"/>
                        <w:gridCol w:w="1246"/>
                        <w:gridCol w:w="1305"/>
                      </w:tblGrid>
                      <w:tr w14:paraId="7FF390F7">
                        <w:tblPrEx>
                          <w:tblCellMar>
                            <w:top w:w="0" w:type="dxa"/>
                            <w:left w:w="108" w:type="dxa"/>
                            <w:bottom w:w="0" w:type="dxa"/>
                            <w:right w:w="108" w:type="dxa"/>
                          </w:tblCellMar>
                        </w:tblPrEx>
                        <w:trPr>
                          <w:trHeight w:val="737" w:hRule="atLeast"/>
                        </w:trPr>
                        <w:tc>
                          <w:tcPr>
                            <w:tcW w:w="1101" w:type="dxa"/>
                            <w:tcBorders>
                              <w:top w:val="single" w:color="auto" w:sz="8" w:space="0"/>
                              <w:left w:val="single" w:color="auto" w:sz="8" w:space="0"/>
                              <w:bottom w:val="single" w:color="auto" w:sz="8" w:space="0"/>
                              <w:right w:val="single" w:color="auto" w:sz="8" w:space="0"/>
                            </w:tcBorders>
                            <w:vAlign w:val="center"/>
                          </w:tcPr>
                          <w:p w14:paraId="1C552271">
                            <w:pPr>
                              <w:jc w:val="center"/>
                              <w:rPr>
                                <w:rFonts w:hint="eastAsia" w:ascii="仿宋_GB2312" w:hAnsi="仿宋_GB2312" w:eastAsia="仿宋_GB2312" w:cs="仿宋_GB2312"/>
                                <w:kern w:val="2"/>
                              </w:rPr>
                            </w:pPr>
                            <w:r>
                              <w:rPr>
                                <w:rFonts w:hint="eastAsia" w:ascii="仿宋_GB2312" w:hAnsi="仿宋_GB2312" w:eastAsia="仿宋_GB2312" w:cs="仿宋_GB2312"/>
                                <w:kern w:val="2"/>
                              </w:rPr>
                              <w:t>标的号</w:t>
                            </w:r>
                          </w:p>
                        </w:tc>
                        <w:tc>
                          <w:tcPr>
                            <w:tcW w:w="1134" w:type="dxa"/>
                            <w:tcBorders>
                              <w:top w:val="single" w:color="auto" w:sz="8" w:space="0"/>
                              <w:left w:val="nil"/>
                              <w:bottom w:val="single" w:color="auto" w:sz="8" w:space="0"/>
                              <w:right w:val="single" w:color="auto" w:sz="8" w:space="0"/>
                            </w:tcBorders>
                            <w:vAlign w:val="center"/>
                          </w:tcPr>
                          <w:p w14:paraId="4098C7E2">
                            <w:pPr>
                              <w:jc w:val="center"/>
                              <w:rPr>
                                <w:rFonts w:hint="eastAsia" w:ascii="仿宋_GB2312" w:hAnsi="仿宋_GB2312" w:eastAsia="仿宋_GB2312" w:cs="仿宋_GB2312"/>
                                <w:kern w:val="2"/>
                              </w:rPr>
                            </w:pPr>
                            <w:r>
                              <w:rPr>
                                <w:rFonts w:hint="eastAsia" w:ascii="仿宋_GB2312" w:hAnsi="仿宋_GB2312" w:eastAsia="仿宋_GB2312" w:cs="仿宋_GB2312"/>
                                <w:kern w:val="2"/>
                              </w:rPr>
                              <w:t>品种</w:t>
                            </w:r>
                          </w:p>
                        </w:tc>
                        <w:tc>
                          <w:tcPr>
                            <w:tcW w:w="1275" w:type="dxa"/>
                            <w:tcBorders>
                              <w:top w:val="single" w:color="auto" w:sz="8" w:space="0"/>
                              <w:left w:val="nil"/>
                              <w:bottom w:val="single" w:color="auto" w:sz="8" w:space="0"/>
                              <w:right w:val="single" w:color="auto" w:sz="8" w:space="0"/>
                            </w:tcBorders>
                            <w:vAlign w:val="center"/>
                          </w:tcPr>
                          <w:p w14:paraId="68393BE8">
                            <w:pPr>
                              <w:jc w:val="center"/>
                              <w:rPr>
                                <w:rFonts w:hint="eastAsia" w:ascii="仿宋_GB2312" w:hAnsi="仿宋_GB2312" w:eastAsia="仿宋_GB2312" w:cs="仿宋_GB2312"/>
                                <w:kern w:val="2"/>
                              </w:rPr>
                            </w:pPr>
                            <w:r>
                              <w:rPr>
                                <w:rFonts w:hint="eastAsia" w:ascii="仿宋_GB2312" w:hAnsi="仿宋_GB2312" w:eastAsia="仿宋_GB2312" w:cs="仿宋_GB2312"/>
                                <w:kern w:val="2"/>
                              </w:rPr>
                              <w:t>数量（吨）</w:t>
                            </w:r>
                          </w:p>
                        </w:tc>
                        <w:tc>
                          <w:tcPr>
                            <w:tcW w:w="1560" w:type="dxa"/>
                            <w:tcBorders>
                              <w:top w:val="single" w:color="auto" w:sz="8" w:space="0"/>
                              <w:left w:val="nil"/>
                              <w:bottom w:val="single" w:color="auto" w:sz="8" w:space="0"/>
                              <w:right w:val="single" w:color="auto" w:sz="8" w:space="0"/>
                            </w:tcBorders>
                            <w:vAlign w:val="center"/>
                          </w:tcPr>
                          <w:p w14:paraId="2B3F2DC6">
                            <w:pPr>
                              <w:jc w:val="center"/>
                              <w:rPr>
                                <w:rFonts w:hint="eastAsia" w:ascii="仿宋_GB2312" w:hAnsi="仿宋_GB2312" w:eastAsia="仿宋_GB2312" w:cs="仿宋_GB2312"/>
                                <w:kern w:val="2"/>
                              </w:rPr>
                            </w:pPr>
                            <w:r>
                              <w:rPr>
                                <w:rFonts w:hint="eastAsia" w:ascii="仿宋_GB2312" w:hAnsi="仿宋_GB2312" w:eastAsia="仿宋_GB2312" w:cs="仿宋_GB2312"/>
                                <w:kern w:val="2"/>
                              </w:rPr>
                              <w:t>价格（元/吨）</w:t>
                            </w:r>
                          </w:p>
                        </w:tc>
                        <w:tc>
                          <w:tcPr>
                            <w:tcW w:w="1559" w:type="dxa"/>
                            <w:tcBorders>
                              <w:top w:val="single" w:color="auto" w:sz="8" w:space="0"/>
                              <w:left w:val="nil"/>
                              <w:bottom w:val="single" w:color="auto" w:sz="8" w:space="0"/>
                              <w:right w:val="single" w:color="auto" w:sz="8" w:space="0"/>
                            </w:tcBorders>
                            <w:vAlign w:val="center"/>
                          </w:tcPr>
                          <w:p w14:paraId="6CE65795">
                            <w:pPr>
                              <w:jc w:val="center"/>
                              <w:rPr>
                                <w:rFonts w:hint="eastAsia" w:ascii="仿宋_GB2312" w:hAnsi="仿宋_GB2312" w:eastAsia="仿宋_GB2312" w:cs="仿宋_GB2312"/>
                                <w:kern w:val="2"/>
                              </w:rPr>
                            </w:pPr>
                            <w:r>
                              <w:rPr>
                                <w:rFonts w:hint="eastAsia" w:ascii="仿宋_GB2312" w:hAnsi="仿宋_GB2312" w:eastAsia="仿宋_GB2312" w:cs="仿宋_GB2312"/>
                                <w:kern w:val="2"/>
                              </w:rPr>
                              <w:t>交易额（元）</w:t>
                            </w:r>
                          </w:p>
                        </w:tc>
                        <w:tc>
                          <w:tcPr>
                            <w:tcW w:w="1246" w:type="dxa"/>
                            <w:tcBorders>
                              <w:top w:val="single" w:color="auto" w:sz="8" w:space="0"/>
                              <w:left w:val="nil"/>
                              <w:bottom w:val="single" w:color="auto" w:sz="8" w:space="0"/>
                              <w:right w:val="single" w:color="auto" w:sz="8" w:space="0"/>
                            </w:tcBorders>
                            <w:vAlign w:val="center"/>
                          </w:tcPr>
                          <w:p w14:paraId="6A12C82B">
                            <w:pPr>
                              <w:jc w:val="center"/>
                              <w:rPr>
                                <w:rFonts w:hint="eastAsia" w:ascii="仿宋_GB2312" w:hAnsi="仿宋_GB2312" w:eastAsia="仿宋_GB2312" w:cs="仿宋_GB2312"/>
                                <w:kern w:val="2"/>
                              </w:rPr>
                            </w:pPr>
                            <w:r>
                              <w:rPr>
                                <w:rFonts w:hint="eastAsia" w:ascii="仿宋_GB2312" w:hAnsi="仿宋_GB2312" w:eastAsia="仿宋_GB2312" w:cs="仿宋_GB2312"/>
                                <w:kern w:val="2"/>
                              </w:rPr>
                              <w:t>产地</w:t>
                            </w:r>
                          </w:p>
                        </w:tc>
                        <w:tc>
                          <w:tcPr>
                            <w:tcW w:w="1305" w:type="dxa"/>
                            <w:tcBorders>
                              <w:top w:val="single" w:color="auto" w:sz="8" w:space="0"/>
                              <w:left w:val="nil"/>
                              <w:bottom w:val="single" w:color="auto" w:sz="8" w:space="0"/>
                              <w:right w:val="single" w:color="auto" w:sz="8" w:space="0"/>
                            </w:tcBorders>
                            <w:vAlign w:val="center"/>
                          </w:tcPr>
                          <w:p w14:paraId="011BC5BC">
                            <w:pPr>
                              <w:jc w:val="center"/>
                              <w:rPr>
                                <w:rFonts w:hint="eastAsia" w:ascii="仿宋_GB2312" w:hAnsi="仿宋_GB2312" w:eastAsia="仿宋_GB2312" w:cs="仿宋_GB2312"/>
                                <w:kern w:val="2"/>
                              </w:rPr>
                            </w:pPr>
                            <w:r>
                              <w:rPr>
                                <w:rFonts w:hint="eastAsia" w:ascii="仿宋_GB2312" w:hAnsi="仿宋_GB2312" w:eastAsia="仿宋_GB2312" w:cs="仿宋_GB2312"/>
                                <w:kern w:val="2"/>
                              </w:rPr>
                              <w:t>生产年份</w:t>
                            </w:r>
                          </w:p>
                        </w:tc>
                      </w:tr>
                      <w:tr w14:paraId="0C6AF37A">
                        <w:tblPrEx>
                          <w:tblCellMar>
                            <w:top w:w="0" w:type="dxa"/>
                            <w:left w:w="108" w:type="dxa"/>
                            <w:bottom w:w="0" w:type="dxa"/>
                            <w:right w:w="108" w:type="dxa"/>
                          </w:tblCellMar>
                        </w:tblPrEx>
                        <w:trPr>
                          <w:trHeight w:val="561" w:hRule="atLeast"/>
                        </w:trPr>
                        <w:tc>
                          <w:tcPr>
                            <w:tcW w:w="1101" w:type="dxa"/>
                            <w:tcBorders>
                              <w:top w:val="nil"/>
                              <w:left w:val="single" w:color="auto" w:sz="8" w:space="0"/>
                              <w:bottom w:val="single" w:color="auto" w:sz="8" w:space="0"/>
                              <w:right w:val="single" w:color="auto" w:sz="8" w:space="0"/>
                            </w:tcBorders>
                            <w:vAlign w:val="center"/>
                          </w:tcPr>
                          <w:p w14:paraId="6EF1CC6A">
                            <w:pPr>
                              <w:jc w:val="center"/>
                              <w:rPr>
                                <w:rFonts w:hint="default" w:ascii="仿宋_GB2312" w:hAnsi="仿宋_GB2312" w:eastAsia="仿宋_GB2312" w:cs="仿宋_GB2312"/>
                                <w:kern w:val="2"/>
                                <w:lang w:val="en-US" w:eastAsia="zh-CN"/>
                              </w:rPr>
                            </w:pPr>
                          </w:p>
                        </w:tc>
                        <w:tc>
                          <w:tcPr>
                            <w:tcW w:w="1134" w:type="dxa"/>
                            <w:tcBorders>
                              <w:top w:val="nil"/>
                              <w:left w:val="nil"/>
                              <w:bottom w:val="single" w:color="auto" w:sz="8" w:space="0"/>
                              <w:right w:val="single" w:color="auto" w:sz="8" w:space="0"/>
                            </w:tcBorders>
                            <w:vAlign w:val="center"/>
                          </w:tcPr>
                          <w:p w14:paraId="053AAFC3">
                            <w:pPr>
                              <w:jc w:val="center"/>
                              <w:rPr>
                                <w:rFonts w:hint="default" w:ascii="仿宋_GB2312" w:hAnsi="仿宋_GB2312" w:eastAsia="仿宋_GB2312" w:cs="仿宋_GB2312"/>
                                <w:kern w:val="2"/>
                                <w:lang w:val="en-US" w:eastAsia="zh-CN"/>
                              </w:rPr>
                            </w:pPr>
                          </w:p>
                        </w:tc>
                        <w:tc>
                          <w:tcPr>
                            <w:tcW w:w="1275" w:type="dxa"/>
                            <w:tcBorders>
                              <w:top w:val="nil"/>
                              <w:left w:val="nil"/>
                              <w:bottom w:val="single" w:color="auto" w:sz="8" w:space="0"/>
                              <w:right w:val="single" w:color="auto" w:sz="8" w:space="0"/>
                            </w:tcBorders>
                            <w:vAlign w:val="center"/>
                          </w:tcPr>
                          <w:p w14:paraId="33C2E687">
                            <w:pPr>
                              <w:jc w:val="center"/>
                              <w:rPr>
                                <w:rFonts w:hint="default" w:ascii="仿宋_GB2312" w:hAnsi="仿宋_GB2312" w:eastAsia="仿宋_GB2312" w:cs="仿宋_GB2312"/>
                                <w:kern w:val="2"/>
                                <w:lang w:val="en-US" w:eastAsia="zh-CN"/>
                              </w:rPr>
                            </w:pPr>
                          </w:p>
                        </w:tc>
                        <w:tc>
                          <w:tcPr>
                            <w:tcW w:w="1560" w:type="dxa"/>
                            <w:tcBorders>
                              <w:top w:val="nil"/>
                              <w:left w:val="nil"/>
                              <w:bottom w:val="single" w:color="auto" w:sz="8" w:space="0"/>
                              <w:right w:val="single" w:color="auto" w:sz="8" w:space="0"/>
                            </w:tcBorders>
                            <w:vAlign w:val="center"/>
                          </w:tcPr>
                          <w:p w14:paraId="0C6C19C2">
                            <w:pPr>
                              <w:jc w:val="center"/>
                              <w:rPr>
                                <w:rFonts w:hint="default" w:ascii="仿宋_GB2312" w:hAnsi="仿宋_GB2312" w:eastAsia="仿宋_GB2312" w:cs="仿宋_GB2312"/>
                                <w:kern w:val="2"/>
                                <w:lang w:val="en-US" w:eastAsia="zh-CN"/>
                              </w:rPr>
                            </w:pPr>
                          </w:p>
                        </w:tc>
                        <w:tc>
                          <w:tcPr>
                            <w:tcW w:w="1559" w:type="dxa"/>
                            <w:tcBorders>
                              <w:top w:val="nil"/>
                              <w:left w:val="nil"/>
                              <w:bottom w:val="single" w:color="auto" w:sz="8" w:space="0"/>
                              <w:right w:val="single" w:color="auto" w:sz="8" w:space="0"/>
                            </w:tcBorders>
                            <w:vAlign w:val="center"/>
                          </w:tcPr>
                          <w:p w14:paraId="45189770">
                            <w:pPr>
                              <w:jc w:val="center"/>
                              <w:rPr>
                                <w:rFonts w:hint="default" w:ascii="仿宋_GB2312" w:hAnsi="仿宋_GB2312" w:eastAsia="仿宋_GB2312" w:cs="仿宋_GB2312"/>
                                <w:kern w:val="2"/>
                                <w:lang w:val="en-US" w:eastAsia="zh-CN"/>
                              </w:rPr>
                            </w:pPr>
                          </w:p>
                        </w:tc>
                        <w:tc>
                          <w:tcPr>
                            <w:tcW w:w="1246" w:type="dxa"/>
                            <w:tcBorders>
                              <w:top w:val="nil"/>
                              <w:left w:val="nil"/>
                              <w:bottom w:val="single" w:color="auto" w:sz="8" w:space="0"/>
                              <w:right w:val="single" w:color="auto" w:sz="8" w:space="0"/>
                            </w:tcBorders>
                            <w:vAlign w:val="center"/>
                          </w:tcPr>
                          <w:p w14:paraId="57E46565">
                            <w:pPr>
                              <w:jc w:val="center"/>
                              <w:rPr>
                                <w:rFonts w:hint="default" w:ascii="仿宋_GB2312" w:hAnsi="仿宋_GB2312" w:eastAsia="仿宋_GB2312" w:cs="仿宋_GB2312"/>
                                <w:kern w:val="2"/>
                                <w:lang w:val="en-US" w:eastAsia="zh-CN"/>
                              </w:rPr>
                            </w:pPr>
                          </w:p>
                        </w:tc>
                        <w:tc>
                          <w:tcPr>
                            <w:tcW w:w="1305" w:type="dxa"/>
                            <w:tcBorders>
                              <w:top w:val="nil"/>
                              <w:left w:val="nil"/>
                              <w:bottom w:val="single" w:color="auto" w:sz="8" w:space="0"/>
                              <w:right w:val="single" w:color="auto" w:sz="8" w:space="0"/>
                            </w:tcBorders>
                            <w:vAlign w:val="center"/>
                          </w:tcPr>
                          <w:p w14:paraId="51B6B299">
                            <w:pPr>
                              <w:jc w:val="center"/>
                              <w:rPr>
                                <w:rFonts w:hint="default" w:ascii="仿宋_GB2312" w:hAnsi="仿宋_GB2312" w:eastAsia="仿宋_GB2312" w:cs="仿宋_GB2312"/>
                                <w:kern w:val="2"/>
                                <w:lang w:val="en-US" w:eastAsia="zh-CN"/>
                              </w:rPr>
                            </w:pPr>
                          </w:p>
                        </w:tc>
                      </w:tr>
                      <w:tr w14:paraId="6338F3CF">
                        <w:tblPrEx>
                          <w:tblCellMar>
                            <w:top w:w="0" w:type="dxa"/>
                            <w:left w:w="108" w:type="dxa"/>
                            <w:bottom w:w="0" w:type="dxa"/>
                            <w:right w:w="108" w:type="dxa"/>
                          </w:tblCellMar>
                        </w:tblPrEx>
                        <w:trPr>
                          <w:trHeight w:val="561" w:hRule="atLeast"/>
                        </w:trPr>
                        <w:tc>
                          <w:tcPr>
                            <w:tcW w:w="1101" w:type="dxa"/>
                            <w:tcBorders>
                              <w:top w:val="nil"/>
                              <w:left w:val="single" w:color="auto" w:sz="8" w:space="0"/>
                              <w:bottom w:val="single" w:color="auto" w:sz="8" w:space="0"/>
                              <w:right w:val="single" w:color="auto" w:sz="8" w:space="0"/>
                            </w:tcBorders>
                            <w:vAlign w:val="center"/>
                          </w:tcPr>
                          <w:p w14:paraId="2D5D2707">
                            <w:pPr>
                              <w:ind w:left="0" w:leftChars="0" w:firstLine="0" w:firstLineChars="0"/>
                              <w:jc w:val="center"/>
                              <w:rPr>
                                <w:rFonts w:hint="default" w:ascii="仿宋_GB2312" w:hAnsi="仿宋_GB2312" w:eastAsia="仿宋_GB2312" w:cs="仿宋_GB2312"/>
                                <w:kern w:val="2"/>
                                <w:sz w:val="24"/>
                                <w:szCs w:val="24"/>
                                <w:lang w:val="en-US" w:eastAsia="zh-CN" w:bidi="ar-SA"/>
                              </w:rPr>
                            </w:pPr>
                          </w:p>
                        </w:tc>
                        <w:tc>
                          <w:tcPr>
                            <w:tcW w:w="1134" w:type="dxa"/>
                            <w:tcBorders>
                              <w:top w:val="nil"/>
                              <w:left w:val="nil"/>
                              <w:bottom w:val="single" w:color="auto" w:sz="8" w:space="0"/>
                              <w:right w:val="single" w:color="auto" w:sz="8" w:space="0"/>
                            </w:tcBorders>
                            <w:vAlign w:val="center"/>
                          </w:tcPr>
                          <w:p w14:paraId="592354EE">
                            <w:pPr>
                              <w:ind w:left="0" w:leftChars="0" w:firstLine="0" w:firstLineChars="0"/>
                              <w:jc w:val="center"/>
                              <w:rPr>
                                <w:rFonts w:hint="default" w:ascii="仿宋_GB2312" w:hAnsi="仿宋_GB2312" w:eastAsia="仿宋_GB2312" w:cs="仿宋_GB2312"/>
                                <w:kern w:val="2"/>
                                <w:sz w:val="24"/>
                                <w:szCs w:val="24"/>
                                <w:lang w:val="en-US" w:eastAsia="zh-CN" w:bidi="ar-SA"/>
                              </w:rPr>
                            </w:pPr>
                          </w:p>
                        </w:tc>
                        <w:tc>
                          <w:tcPr>
                            <w:tcW w:w="1275" w:type="dxa"/>
                            <w:tcBorders>
                              <w:top w:val="nil"/>
                              <w:left w:val="nil"/>
                              <w:bottom w:val="single" w:color="auto" w:sz="8" w:space="0"/>
                              <w:right w:val="single" w:color="auto" w:sz="8" w:space="0"/>
                            </w:tcBorders>
                            <w:vAlign w:val="center"/>
                          </w:tcPr>
                          <w:p w14:paraId="60C266B9">
                            <w:pPr>
                              <w:ind w:left="0" w:leftChars="0" w:firstLine="0" w:firstLineChars="0"/>
                              <w:jc w:val="center"/>
                              <w:rPr>
                                <w:rFonts w:hint="default" w:ascii="仿宋_GB2312" w:hAnsi="仿宋_GB2312" w:eastAsia="仿宋_GB2312" w:cs="仿宋_GB2312"/>
                                <w:kern w:val="2"/>
                                <w:sz w:val="24"/>
                                <w:szCs w:val="24"/>
                                <w:lang w:val="en-US" w:eastAsia="zh-CN" w:bidi="ar-SA"/>
                              </w:rPr>
                            </w:pPr>
                          </w:p>
                        </w:tc>
                        <w:tc>
                          <w:tcPr>
                            <w:tcW w:w="1560" w:type="dxa"/>
                            <w:tcBorders>
                              <w:top w:val="nil"/>
                              <w:left w:val="nil"/>
                              <w:bottom w:val="single" w:color="auto" w:sz="8" w:space="0"/>
                              <w:right w:val="single" w:color="auto" w:sz="8" w:space="0"/>
                            </w:tcBorders>
                            <w:vAlign w:val="center"/>
                          </w:tcPr>
                          <w:p w14:paraId="37385EF1">
                            <w:pPr>
                              <w:ind w:left="0" w:leftChars="0" w:firstLine="0" w:firstLineChars="0"/>
                              <w:jc w:val="center"/>
                              <w:rPr>
                                <w:rFonts w:hint="default" w:ascii="仿宋_GB2312" w:hAnsi="仿宋_GB2312" w:eastAsia="仿宋_GB2312" w:cs="仿宋_GB2312"/>
                                <w:kern w:val="2"/>
                                <w:sz w:val="24"/>
                                <w:szCs w:val="24"/>
                                <w:lang w:val="en-US" w:eastAsia="zh-CN" w:bidi="ar-SA"/>
                              </w:rPr>
                            </w:pPr>
                          </w:p>
                        </w:tc>
                        <w:tc>
                          <w:tcPr>
                            <w:tcW w:w="1559" w:type="dxa"/>
                            <w:tcBorders>
                              <w:top w:val="nil"/>
                              <w:left w:val="nil"/>
                              <w:bottom w:val="single" w:color="auto" w:sz="8" w:space="0"/>
                              <w:right w:val="single" w:color="auto" w:sz="8" w:space="0"/>
                            </w:tcBorders>
                            <w:vAlign w:val="center"/>
                          </w:tcPr>
                          <w:p w14:paraId="3BCC70FD">
                            <w:pPr>
                              <w:ind w:left="0" w:leftChars="0" w:firstLine="0" w:firstLineChars="0"/>
                              <w:jc w:val="center"/>
                              <w:rPr>
                                <w:rFonts w:hint="default" w:ascii="仿宋_GB2312" w:hAnsi="仿宋_GB2312" w:eastAsia="仿宋_GB2312" w:cs="仿宋_GB2312"/>
                                <w:kern w:val="2"/>
                                <w:sz w:val="24"/>
                                <w:szCs w:val="24"/>
                                <w:lang w:val="en-US" w:eastAsia="zh-CN" w:bidi="ar-SA"/>
                              </w:rPr>
                            </w:pPr>
                          </w:p>
                        </w:tc>
                        <w:tc>
                          <w:tcPr>
                            <w:tcW w:w="1246" w:type="dxa"/>
                            <w:tcBorders>
                              <w:top w:val="nil"/>
                              <w:left w:val="nil"/>
                              <w:bottom w:val="single" w:color="auto" w:sz="8" w:space="0"/>
                              <w:right w:val="single" w:color="auto" w:sz="8" w:space="0"/>
                            </w:tcBorders>
                            <w:vAlign w:val="center"/>
                          </w:tcPr>
                          <w:p w14:paraId="23E861CF">
                            <w:pPr>
                              <w:ind w:left="0" w:leftChars="0" w:firstLine="0" w:firstLineChars="0"/>
                              <w:jc w:val="center"/>
                              <w:rPr>
                                <w:rFonts w:hint="default" w:ascii="仿宋_GB2312" w:hAnsi="仿宋_GB2312" w:eastAsia="仿宋_GB2312" w:cs="仿宋_GB2312"/>
                                <w:kern w:val="2"/>
                                <w:sz w:val="24"/>
                                <w:szCs w:val="24"/>
                                <w:lang w:val="en-US" w:eastAsia="zh-CN" w:bidi="ar-SA"/>
                              </w:rPr>
                            </w:pPr>
                          </w:p>
                        </w:tc>
                        <w:tc>
                          <w:tcPr>
                            <w:tcW w:w="1305" w:type="dxa"/>
                            <w:tcBorders>
                              <w:top w:val="nil"/>
                              <w:left w:val="nil"/>
                              <w:bottom w:val="single" w:color="auto" w:sz="8" w:space="0"/>
                              <w:right w:val="single" w:color="auto" w:sz="8" w:space="0"/>
                            </w:tcBorders>
                            <w:vAlign w:val="center"/>
                          </w:tcPr>
                          <w:p w14:paraId="468B747F">
                            <w:pPr>
                              <w:ind w:left="0" w:leftChars="0" w:firstLine="0" w:firstLineChars="0"/>
                              <w:jc w:val="center"/>
                              <w:rPr>
                                <w:rFonts w:hint="default" w:ascii="仿宋_GB2312" w:hAnsi="仿宋_GB2312" w:eastAsia="仿宋_GB2312" w:cs="仿宋_GB2312"/>
                                <w:kern w:val="2"/>
                                <w:sz w:val="24"/>
                                <w:szCs w:val="24"/>
                                <w:lang w:val="en-US" w:eastAsia="zh-CN" w:bidi="ar-SA"/>
                              </w:rPr>
                            </w:pPr>
                          </w:p>
                        </w:tc>
                      </w:tr>
                      <w:tr w14:paraId="0EF26F94">
                        <w:tblPrEx>
                          <w:tblCellMar>
                            <w:top w:w="0" w:type="dxa"/>
                            <w:left w:w="108" w:type="dxa"/>
                            <w:bottom w:w="0" w:type="dxa"/>
                            <w:right w:w="108" w:type="dxa"/>
                          </w:tblCellMar>
                        </w:tblPrEx>
                        <w:trPr>
                          <w:trHeight w:val="561" w:hRule="atLeast"/>
                        </w:trPr>
                        <w:tc>
                          <w:tcPr>
                            <w:tcW w:w="1101" w:type="dxa"/>
                            <w:tcBorders>
                              <w:top w:val="nil"/>
                              <w:left w:val="single" w:color="auto" w:sz="8" w:space="0"/>
                              <w:bottom w:val="single" w:color="auto" w:sz="8" w:space="0"/>
                              <w:right w:val="single" w:color="auto" w:sz="8" w:space="0"/>
                            </w:tcBorders>
                            <w:vAlign w:val="center"/>
                          </w:tcPr>
                          <w:p w14:paraId="2542A592">
                            <w:pPr>
                              <w:jc w:val="center"/>
                              <w:rPr>
                                <w:rFonts w:hint="eastAsia" w:ascii="仿宋_GB2312" w:hAnsi="仿宋_GB2312" w:eastAsia="仿宋_GB2312" w:cs="仿宋_GB2312"/>
                                <w:kern w:val="2"/>
                              </w:rPr>
                            </w:pPr>
                            <w:r>
                              <w:rPr>
                                <w:rFonts w:hint="eastAsia" w:ascii="仿宋_GB2312" w:hAnsi="仿宋_GB2312" w:eastAsia="仿宋_GB2312" w:cs="仿宋_GB2312"/>
                                <w:kern w:val="2"/>
                              </w:rPr>
                              <w:t>合计</w:t>
                            </w:r>
                          </w:p>
                        </w:tc>
                        <w:tc>
                          <w:tcPr>
                            <w:tcW w:w="1134" w:type="dxa"/>
                            <w:tcBorders>
                              <w:top w:val="nil"/>
                              <w:left w:val="nil"/>
                              <w:bottom w:val="single" w:color="auto" w:sz="8" w:space="0"/>
                              <w:right w:val="single" w:color="auto" w:sz="8" w:space="0"/>
                            </w:tcBorders>
                            <w:vAlign w:val="center"/>
                          </w:tcPr>
                          <w:p w14:paraId="7306A35A">
                            <w:pPr>
                              <w:jc w:val="center"/>
                              <w:rPr>
                                <w:rFonts w:hint="eastAsia" w:ascii="仿宋_GB2312" w:hAnsi="仿宋_GB2312" w:eastAsia="仿宋_GB2312" w:cs="仿宋_GB2312"/>
                                <w:kern w:val="2"/>
                              </w:rPr>
                            </w:pPr>
                          </w:p>
                        </w:tc>
                        <w:tc>
                          <w:tcPr>
                            <w:tcW w:w="1275" w:type="dxa"/>
                            <w:tcBorders>
                              <w:top w:val="nil"/>
                              <w:left w:val="nil"/>
                              <w:bottom w:val="single" w:color="auto" w:sz="8" w:space="0"/>
                              <w:right w:val="single" w:color="auto" w:sz="8" w:space="0"/>
                            </w:tcBorders>
                            <w:vAlign w:val="center"/>
                          </w:tcPr>
                          <w:p w14:paraId="0A7F0CDE">
                            <w:pPr>
                              <w:ind w:left="0" w:leftChars="0" w:firstLine="0" w:firstLineChars="0"/>
                              <w:jc w:val="center"/>
                              <w:rPr>
                                <w:rFonts w:hint="default" w:ascii="仿宋_GB2312" w:hAnsi="仿宋_GB2312" w:eastAsia="仿宋_GB2312" w:cs="仿宋_GB2312"/>
                                <w:kern w:val="2"/>
                                <w:sz w:val="24"/>
                                <w:szCs w:val="24"/>
                                <w:lang w:val="en-US" w:eastAsia="zh-CN" w:bidi="ar-SA"/>
                              </w:rPr>
                            </w:pPr>
                          </w:p>
                        </w:tc>
                        <w:tc>
                          <w:tcPr>
                            <w:tcW w:w="1560" w:type="dxa"/>
                            <w:tcBorders>
                              <w:top w:val="nil"/>
                              <w:left w:val="nil"/>
                              <w:bottom w:val="single" w:color="auto" w:sz="8" w:space="0"/>
                              <w:right w:val="single" w:color="auto" w:sz="8" w:space="0"/>
                            </w:tcBorders>
                            <w:vAlign w:val="center"/>
                          </w:tcPr>
                          <w:p w14:paraId="5BA1D513">
                            <w:pPr>
                              <w:ind w:left="0" w:leftChars="0" w:firstLine="0" w:firstLineChars="0"/>
                              <w:jc w:val="center"/>
                              <w:rPr>
                                <w:rFonts w:hint="eastAsia" w:ascii="仿宋_GB2312" w:hAnsi="仿宋_GB2312" w:eastAsia="仿宋_GB2312" w:cs="仿宋_GB2312"/>
                                <w:kern w:val="2"/>
                                <w:sz w:val="24"/>
                                <w:szCs w:val="24"/>
                                <w:lang w:val="en-US" w:eastAsia="zh-CN" w:bidi="ar-SA"/>
                              </w:rPr>
                            </w:pPr>
                          </w:p>
                        </w:tc>
                        <w:tc>
                          <w:tcPr>
                            <w:tcW w:w="1559" w:type="dxa"/>
                            <w:tcBorders>
                              <w:top w:val="nil"/>
                              <w:left w:val="nil"/>
                              <w:bottom w:val="single" w:color="auto" w:sz="8" w:space="0"/>
                              <w:right w:val="single" w:color="auto" w:sz="8" w:space="0"/>
                            </w:tcBorders>
                            <w:vAlign w:val="center"/>
                          </w:tcPr>
                          <w:p w14:paraId="6E464A03">
                            <w:pPr>
                              <w:ind w:left="0" w:leftChars="0" w:firstLine="0" w:firstLineChars="0"/>
                              <w:jc w:val="center"/>
                              <w:rPr>
                                <w:rFonts w:hint="default" w:ascii="仿宋_GB2312" w:hAnsi="仿宋_GB2312" w:eastAsia="仿宋_GB2312" w:cs="仿宋_GB2312"/>
                                <w:kern w:val="2"/>
                                <w:sz w:val="24"/>
                                <w:szCs w:val="24"/>
                                <w:lang w:val="en-US" w:eastAsia="zh-CN" w:bidi="ar-SA"/>
                              </w:rPr>
                            </w:pPr>
                          </w:p>
                        </w:tc>
                        <w:tc>
                          <w:tcPr>
                            <w:tcW w:w="1246" w:type="dxa"/>
                            <w:tcBorders>
                              <w:top w:val="nil"/>
                              <w:left w:val="nil"/>
                              <w:bottom w:val="single" w:color="auto" w:sz="8" w:space="0"/>
                              <w:right w:val="single" w:color="auto" w:sz="8" w:space="0"/>
                            </w:tcBorders>
                            <w:vAlign w:val="center"/>
                          </w:tcPr>
                          <w:p w14:paraId="5E1E86D6">
                            <w:pPr>
                              <w:jc w:val="center"/>
                              <w:rPr>
                                <w:rFonts w:hint="eastAsia" w:ascii="仿宋_GB2312" w:hAnsi="仿宋_GB2312" w:eastAsia="仿宋_GB2312" w:cs="仿宋_GB2312"/>
                                <w:kern w:val="2"/>
                              </w:rPr>
                            </w:pPr>
                          </w:p>
                        </w:tc>
                        <w:tc>
                          <w:tcPr>
                            <w:tcW w:w="1305" w:type="dxa"/>
                            <w:tcBorders>
                              <w:top w:val="nil"/>
                              <w:left w:val="nil"/>
                              <w:bottom w:val="single" w:color="auto" w:sz="8" w:space="0"/>
                              <w:right w:val="single" w:color="auto" w:sz="8" w:space="0"/>
                            </w:tcBorders>
                            <w:vAlign w:val="center"/>
                          </w:tcPr>
                          <w:p w14:paraId="1CE460EC">
                            <w:pPr>
                              <w:jc w:val="center"/>
                              <w:rPr>
                                <w:rFonts w:hint="eastAsia" w:ascii="仿宋_GB2312" w:hAnsi="仿宋_GB2312" w:eastAsia="仿宋_GB2312" w:cs="仿宋_GB2312"/>
                                <w:kern w:val="2"/>
                              </w:rPr>
                            </w:pPr>
                          </w:p>
                        </w:tc>
                      </w:tr>
                      <w:tr w14:paraId="10628375">
                        <w:tblPrEx>
                          <w:tblCellMar>
                            <w:top w:w="0" w:type="dxa"/>
                            <w:left w:w="108" w:type="dxa"/>
                            <w:bottom w:w="0" w:type="dxa"/>
                            <w:right w:w="108" w:type="dxa"/>
                          </w:tblCellMar>
                        </w:tblPrEx>
                        <w:trPr>
                          <w:trHeight w:val="561" w:hRule="atLeast"/>
                        </w:trPr>
                        <w:tc>
                          <w:tcPr>
                            <w:tcW w:w="9180" w:type="dxa"/>
                            <w:gridSpan w:val="7"/>
                            <w:tcBorders>
                              <w:top w:val="nil"/>
                              <w:left w:val="single" w:color="auto" w:sz="8" w:space="0"/>
                              <w:bottom w:val="single" w:color="auto" w:sz="8" w:space="0"/>
                              <w:right w:val="single" w:color="auto" w:sz="8" w:space="0"/>
                            </w:tcBorders>
                            <w:vAlign w:val="center"/>
                          </w:tcPr>
                          <w:p w14:paraId="2246389D">
                            <w:pPr>
                              <w:rPr>
                                <w:rFonts w:hint="eastAsia" w:ascii="仿宋_GB2312" w:hAnsi="仿宋_GB2312" w:eastAsia="仿宋_GB2312" w:cs="仿宋_GB2312"/>
                                <w:kern w:val="2"/>
                                <w:lang w:val="en-US" w:eastAsia="zh-CN"/>
                              </w:rPr>
                            </w:pPr>
                            <w:r>
                              <w:rPr>
                                <w:rFonts w:hint="eastAsia" w:ascii="仿宋_GB2312" w:hAnsi="仿宋_GB2312" w:eastAsia="仿宋_GB2312" w:cs="仿宋_GB2312"/>
                                <w:kern w:val="2"/>
                              </w:rPr>
                              <w:t>总交易额（大写）：</w:t>
                            </w:r>
                            <w:r>
                              <w:rPr>
                                <w:rFonts w:hint="eastAsia" w:ascii="仿宋_GB2312" w:hAnsi="仿宋_GB2312" w:eastAsia="仿宋_GB2312" w:cs="仿宋_GB2312"/>
                                <w:kern w:val="2"/>
                                <w:lang w:val="en-US" w:eastAsia="zh-CN"/>
                              </w:rPr>
                              <w:t>元</w:t>
                            </w:r>
                            <w:r>
                              <w:rPr>
                                <w:rFonts w:hint="eastAsia" w:ascii="仿宋_GB2312" w:hAnsi="仿宋_GB2312" w:eastAsia="仿宋_GB2312" w:cs="仿宋_GB2312"/>
                                <w:kern w:val="2"/>
                              </w:rPr>
                              <w:t>整</w:t>
                            </w:r>
                          </w:p>
                        </w:tc>
                      </w:tr>
                    </w:tbl>
                    <w:p w14:paraId="6910ACB9"/>
                  </w:txbxContent>
                </v:textbox>
              </v:shape>
            </w:pict>
          </mc:Fallback>
        </mc:AlternateContent>
      </w:r>
      <w:r>
        <w:rPr>
          <w:rFonts w:hint="eastAsia" w:ascii="黑体" w:hAnsi="黑体" w:eastAsia="黑体" w:cs="黑体"/>
          <w:b w:val="0"/>
          <w:bCs w:val="0"/>
          <w:color w:val="000000"/>
          <w:sz w:val="32"/>
          <w:szCs w:val="32"/>
        </w:rPr>
        <w:t>一、销售粮食的品种、数量（净重）、价格、交易额、产地及生产年份如下表：</w:t>
      </w:r>
    </w:p>
    <w:p w14:paraId="37D73BC7">
      <w:pPr>
        <w:keepNext w:val="0"/>
        <w:keepLines w:val="0"/>
        <w:pageBreakBefore w:val="0"/>
        <w:widowControl/>
        <w:kinsoku/>
        <w:wordWrap/>
        <w:overflowPunct/>
        <w:topLinePunct w:val="0"/>
        <w:autoSpaceDE/>
        <w:autoSpaceDN/>
        <w:bidi w:val="0"/>
        <w:adjustRightInd/>
        <w:snapToGrid/>
        <w:ind w:firstLine="560" w:firstLineChars="200"/>
        <w:textAlignment w:val="auto"/>
        <w:rPr>
          <w:rFonts w:ascii="宋体" w:hAnsi="宋体" w:cs="Tahoma"/>
          <w:color w:val="000000"/>
          <w:sz w:val="28"/>
          <w:szCs w:val="28"/>
        </w:rPr>
      </w:pPr>
    </w:p>
    <w:p w14:paraId="797D0748">
      <w:pPr>
        <w:keepNext w:val="0"/>
        <w:keepLines w:val="0"/>
        <w:pageBreakBefore w:val="0"/>
        <w:widowControl/>
        <w:kinsoku/>
        <w:wordWrap/>
        <w:overflowPunct/>
        <w:topLinePunct w:val="0"/>
        <w:autoSpaceDE/>
        <w:autoSpaceDN/>
        <w:bidi w:val="0"/>
        <w:adjustRightInd/>
        <w:snapToGrid/>
        <w:ind w:firstLine="560" w:firstLineChars="200"/>
        <w:textAlignment w:val="auto"/>
        <w:rPr>
          <w:rFonts w:ascii="宋体" w:hAnsi="宋体" w:cs="Tahoma"/>
          <w:color w:val="000000"/>
          <w:sz w:val="28"/>
          <w:szCs w:val="28"/>
        </w:rPr>
      </w:pPr>
    </w:p>
    <w:p w14:paraId="74F4883A">
      <w:pPr>
        <w:keepNext w:val="0"/>
        <w:keepLines w:val="0"/>
        <w:pageBreakBefore w:val="0"/>
        <w:widowControl/>
        <w:kinsoku/>
        <w:wordWrap/>
        <w:overflowPunct/>
        <w:topLinePunct w:val="0"/>
        <w:autoSpaceDE/>
        <w:autoSpaceDN/>
        <w:bidi w:val="0"/>
        <w:adjustRightInd/>
        <w:snapToGrid/>
        <w:ind w:firstLine="560" w:firstLineChars="200"/>
        <w:textAlignment w:val="auto"/>
        <w:rPr>
          <w:rFonts w:ascii="宋体" w:hAnsi="宋体" w:cs="Tahoma"/>
          <w:color w:val="000000"/>
          <w:sz w:val="28"/>
          <w:szCs w:val="28"/>
        </w:rPr>
      </w:pPr>
    </w:p>
    <w:p w14:paraId="57E206FA">
      <w:pPr>
        <w:keepNext w:val="0"/>
        <w:keepLines w:val="0"/>
        <w:pageBreakBefore w:val="0"/>
        <w:widowControl/>
        <w:kinsoku/>
        <w:wordWrap/>
        <w:overflowPunct/>
        <w:topLinePunct w:val="0"/>
        <w:autoSpaceDE/>
        <w:autoSpaceDN/>
        <w:bidi w:val="0"/>
        <w:adjustRightInd/>
        <w:snapToGrid/>
        <w:ind w:firstLine="560" w:firstLineChars="200"/>
        <w:textAlignment w:val="auto"/>
        <w:rPr>
          <w:rFonts w:ascii="宋体" w:hAnsi="宋体" w:cs="Tahoma"/>
          <w:color w:val="000000"/>
          <w:sz w:val="28"/>
          <w:szCs w:val="28"/>
        </w:rPr>
      </w:pPr>
    </w:p>
    <w:p w14:paraId="375FA58A">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000000"/>
          <w:sz w:val="32"/>
          <w:szCs w:val="32"/>
        </w:rPr>
      </w:pPr>
    </w:p>
    <w:p w14:paraId="0BEB0589">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color w:val="000000"/>
          <w:sz w:val="32"/>
          <w:szCs w:val="32"/>
        </w:rPr>
        <w:t>质量指标（</w:t>
      </w:r>
      <w:r>
        <w:rPr>
          <w:rFonts w:hint="eastAsia" w:ascii="仿宋_GB2312" w:hAnsi="仿宋_GB2312" w:eastAsia="仿宋_GB2312" w:cs="仿宋_GB2312"/>
          <w:color w:val="000000"/>
          <w:sz w:val="32"/>
          <w:szCs w:val="32"/>
          <w:lang w:val="en-US" w:eastAsia="zh-CN"/>
        </w:rPr>
        <w:t>详见</w:t>
      </w:r>
      <w:r>
        <w:rPr>
          <w:rFonts w:hint="eastAsia" w:ascii="仿宋_GB2312" w:hAnsi="仿宋_GB2312" w:eastAsia="仿宋_GB2312" w:cs="仿宋_GB2312"/>
          <w:sz w:val="32"/>
          <w:szCs w:val="32"/>
          <w:lang w:val="en-US" w:eastAsia="zh-CN"/>
        </w:rPr>
        <w:t>国家粮食浙江交易中心</w:t>
      </w:r>
      <w:r>
        <w:rPr>
          <w:rFonts w:hint="eastAsia" w:ascii="仿宋_GB2312" w:hAnsi="仿宋_GB2312" w:eastAsia="仿宋_GB2312" w:cs="仿宋_GB2312"/>
          <w:sz w:val="32"/>
          <w:szCs w:val="32"/>
        </w:rPr>
        <w:t>发布</w:t>
      </w:r>
      <w:r>
        <w:rPr>
          <w:rFonts w:hint="eastAsia" w:ascii="仿宋_GB2312" w:hAnsi="仿宋_GB2312" w:eastAsia="仿宋_GB2312" w:cs="仿宋_GB2312"/>
          <w:sz w:val="32"/>
          <w:szCs w:val="32"/>
          <w:lang w:val="en-US" w:eastAsia="zh-CN"/>
        </w:rPr>
        <w:t>的</w:t>
      </w:r>
      <w:r>
        <w:rPr>
          <w:rFonts w:hint="eastAsia" w:ascii="仿宋_GB2312" w:hAnsi="仿宋_GB2312" w:eastAsia="仿宋_GB2312" w:cs="仿宋_GB2312"/>
          <w:color w:val="000000"/>
          <w:sz w:val="32"/>
          <w:szCs w:val="32"/>
        </w:rPr>
        <w:t>竞价销售</w:t>
      </w:r>
      <w:r>
        <w:rPr>
          <w:rFonts w:hint="eastAsia" w:ascii="仿宋_GB2312" w:hAnsi="仿宋_GB2312" w:eastAsia="仿宋_GB2312" w:cs="仿宋_GB2312"/>
          <w:color w:val="000000"/>
          <w:sz w:val="32"/>
          <w:szCs w:val="32"/>
          <w:lang w:val="en-US" w:eastAsia="zh-CN"/>
        </w:rPr>
        <w:t>粮油交割细则</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sz w:val="32"/>
          <w:szCs w:val="32"/>
        </w:rPr>
        <w:t>。</w:t>
      </w:r>
    </w:p>
    <w:p w14:paraId="5B4808FA">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二</w:t>
      </w:r>
      <w:r>
        <w:rPr>
          <w:rFonts w:hint="eastAsia" w:ascii="黑体" w:hAnsi="黑体" w:eastAsia="黑体" w:cs="黑体"/>
          <w:color w:val="000000"/>
          <w:sz w:val="32"/>
          <w:szCs w:val="32"/>
        </w:rPr>
        <w:t>、</w:t>
      </w:r>
      <w:r>
        <w:rPr>
          <w:rFonts w:hint="eastAsia" w:ascii="黑体" w:hAnsi="黑体" w:eastAsia="黑体" w:cs="黑体"/>
          <w:color w:val="000000"/>
          <w:sz w:val="32"/>
          <w:szCs w:val="32"/>
          <w:lang w:val="en-US" w:eastAsia="zh-CN"/>
        </w:rPr>
        <w:t>交货办法</w:t>
      </w:r>
    </w:p>
    <w:p w14:paraId="378CDFE9">
      <w:pPr>
        <w:keepNext w:val="0"/>
        <w:keepLines w:val="0"/>
        <w:pageBreakBefore w:val="0"/>
        <w:widowControl/>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交货时间：乙方须于2025年11月24日前提清标的物。若乙方无法按提货期限提清标的物，须及时向甲方提交延期申请。甲方不同意延期的，乙方须按时提清标的物；甲方同意乙方延期提货的，原则上只能一次，时间不得超过5个工作日，延期内尚未提清的标的物风险全部转移至乙方，甲方不承担任何责任，由此造成的损失与责任均由乙方承担，同时甲方对尚未提清的标的物收取仓储保管费用：超过合同约定时间的，按每日历天0.8元/吨收费。延期内若影响甲方业务工作开展，甲方有权处理，费用由乙方承担。若乙方无故延期的，按违约处理。</w:t>
      </w:r>
    </w:p>
    <w:p w14:paraId="2009F451">
      <w:pPr>
        <w:keepNext w:val="0"/>
        <w:keepLines w:val="0"/>
        <w:pageBreakBefore w:val="0"/>
        <w:widowControl/>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交货地点及方式：甬江中心粮库管理部(宁波市江北区洪塘街道宁慈中路228号)1P11仓XX货位，仓库内自行提货，自提过程中产生的一切费用和风险由乙方自行承担。乙方必须提光竞得货位的标的物（不论剩余标的物多于或少于合同约定的数量）。乙方提货时，应派员（乙方出具委托函）到储存交割库点监磅、确认出库仓号、数量和质量并协调出库事宜，如不派员视同认可。乙方提货须提前1天与甲方联系，以便安排出库事宜，乙方出库进度必须服从甲方安排。</w:t>
      </w:r>
    </w:p>
    <w:p w14:paraId="03DAE109">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三、结算办法</w:t>
      </w:r>
    </w:p>
    <w:p w14:paraId="2026E774">
      <w:pPr>
        <w:keepNext w:val="0"/>
        <w:keepLines w:val="0"/>
        <w:pageBreakBefore w:val="0"/>
        <w:widowControl/>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数量结算方式：以甬江中心粮库管理部的地磅结算数（扣除包装袋净重）为准。实际出库数与合同约定数有出入的标的物，允许乙方先行提货，价款由甲方与乙方结算时多退少补，价款单价以乙方竞得同一标段竞得单价计算。</w:t>
      </w:r>
    </w:p>
    <w:p w14:paraId="2F26E157">
      <w:pPr>
        <w:keepNext w:val="0"/>
        <w:keepLines w:val="0"/>
        <w:pageBreakBefore w:val="0"/>
        <w:widowControl/>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 xml:space="preserve">2.货款结算方式:甲乙双方自行结算，提供正式销售发票，有关印花税等税款按国家有关规定由各自自行缴纳。收款单位：宁波市粮食收储有限公司，开户行：农发行宁波市分行营业部，账号：20333029900100000001151。                           </w:t>
      </w:r>
    </w:p>
    <w:p w14:paraId="4B713704">
      <w:pPr>
        <w:keepNext w:val="0"/>
        <w:keepLines w:val="0"/>
        <w:pageBreakBefore w:val="0"/>
        <w:widowControl/>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3.货款结算期限:先付款后提货。乙方须在竞得之日起</w:t>
      </w:r>
    </w:p>
    <w:p w14:paraId="024FCA2E">
      <w:pPr>
        <w:keepNext w:val="0"/>
        <w:keepLines w:val="0"/>
        <w:pageBreakBefore w:val="0"/>
        <w:widowControl/>
        <w:kinsoku/>
        <w:wordWrap/>
        <w:overflowPunct/>
        <w:topLinePunct w:val="0"/>
        <w:autoSpaceDE/>
        <w:autoSpaceDN/>
        <w:bidi w:val="0"/>
        <w:adjustRightInd/>
        <w:snapToGrid/>
        <w:jc w:val="both"/>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10个工作日内(含，法定节假日顺延，下同)，向甲方支付50%货款，否则按违约处理；乙方须在2025年11月24</w:t>
      </w:r>
      <w:bookmarkStart w:id="0" w:name="_GoBack"/>
      <w:bookmarkEnd w:id="0"/>
      <w:r>
        <w:rPr>
          <w:rFonts w:hint="eastAsia" w:ascii="仿宋_GB2312" w:hAnsi="仿宋_GB2312" w:eastAsia="仿宋_GB2312" w:cs="仿宋_GB2312"/>
          <w:color w:val="000000"/>
          <w:sz w:val="32"/>
          <w:szCs w:val="32"/>
          <w:lang w:val="en-US" w:eastAsia="zh-CN"/>
        </w:rPr>
        <w:t>日前向甲方支付余下的50%货款，逾期支付货款10个工作日内的（含），按逾期金额、实际逾期天数及同期银行贷款利率的2倍收取滞纳金，逾期超过10个工作日的，按违约处理。</w:t>
      </w:r>
    </w:p>
    <w:p w14:paraId="5A7046D9">
      <w:pPr>
        <w:keepNext w:val="0"/>
        <w:keepLines w:val="0"/>
        <w:pageBreakBefore w:val="0"/>
        <w:widowControl/>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四、违约处理：乙方构成违约的，乙方同意由国家粮食浙江交易中心将乙方预交的履约保证金划拨转付给甲方，且甲方有权立即解除合同，要求乙方结清已提标的物货款，相应法律责任由乙方承担</w:t>
      </w:r>
      <w:r>
        <w:rPr>
          <w:rFonts w:hint="eastAsia" w:ascii="仿宋_GB2312" w:hAnsi="仿宋_GB2312" w:eastAsia="仿宋_GB2312" w:cs="仿宋_GB2312"/>
          <w:color w:val="000000"/>
          <w:sz w:val="32"/>
          <w:szCs w:val="32"/>
        </w:rPr>
        <w:t>，包括但不限于甲方因维权支出的合理费用（如律师费、诉讼费、保全费等）、因乙方违约给甲方造成的损失等</w:t>
      </w:r>
      <w:r>
        <w:rPr>
          <w:rFonts w:hint="eastAsia" w:ascii="仿宋_GB2312" w:hAnsi="仿宋_GB2312" w:eastAsia="仿宋_GB2312" w:cs="仿宋_GB2312"/>
          <w:color w:val="000000"/>
          <w:sz w:val="32"/>
          <w:szCs w:val="32"/>
          <w:lang w:val="en-US" w:eastAsia="zh-CN"/>
        </w:rPr>
        <w:t>。</w:t>
      </w:r>
    </w:p>
    <w:p w14:paraId="580CDA10">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en-US" w:eastAsia="zh-CN"/>
        </w:rPr>
        <w:t>五</w:t>
      </w:r>
      <w:r>
        <w:rPr>
          <w:rFonts w:hint="eastAsia" w:ascii="仿宋_GB2312" w:hAnsi="仿宋_GB2312" w:eastAsia="仿宋_GB2312" w:cs="仿宋_GB2312"/>
          <w:color w:val="000000"/>
          <w:kern w:val="0"/>
          <w:sz w:val="32"/>
          <w:szCs w:val="32"/>
        </w:rPr>
        <w:t>、若因地震、战争、自然灾害等不可抗力原因造成任何一方不能顺利履行合同的，合同相关条款由双方另行协商。本合同未尽事宜，由双方协商解决，协商不成的，按《</w:t>
      </w:r>
      <w:r>
        <w:rPr>
          <w:rFonts w:hint="eastAsia" w:ascii="仿宋_GB2312" w:hAnsi="仿宋_GB2312" w:eastAsia="仿宋_GB2312" w:cs="仿宋_GB2312"/>
          <w:color w:val="000000"/>
          <w:kern w:val="0"/>
          <w:sz w:val="32"/>
          <w:szCs w:val="32"/>
          <w:lang w:val="en-US" w:eastAsia="zh-CN"/>
        </w:rPr>
        <w:t>中华人民共和国</w:t>
      </w:r>
      <w:r>
        <w:rPr>
          <w:rFonts w:hint="eastAsia" w:ascii="仿宋_GB2312" w:hAnsi="仿宋_GB2312" w:eastAsia="仿宋_GB2312" w:cs="仿宋_GB2312"/>
          <w:color w:val="000000"/>
          <w:kern w:val="0"/>
          <w:sz w:val="32"/>
          <w:szCs w:val="32"/>
        </w:rPr>
        <w:t>民法典》办理。</w:t>
      </w:r>
    </w:p>
    <w:p w14:paraId="289759C1">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en-US" w:eastAsia="zh-CN"/>
        </w:rPr>
        <w:t>六</w:t>
      </w:r>
      <w:r>
        <w:rPr>
          <w:rFonts w:hint="eastAsia" w:ascii="仿宋_GB2312" w:hAnsi="仿宋_GB2312" w:eastAsia="仿宋_GB2312" w:cs="仿宋_GB2312"/>
          <w:color w:val="000000"/>
          <w:kern w:val="0"/>
          <w:sz w:val="32"/>
          <w:szCs w:val="32"/>
        </w:rPr>
        <w:t>、双方就本</w:t>
      </w:r>
      <w:r>
        <w:rPr>
          <w:rFonts w:hint="eastAsia" w:ascii="仿宋_GB2312" w:hAnsi="仿宋_GB2312" w:eastAsia="仿宋_GB2312" w:cs="仿宋_GB2312"/>
          <w:color w:val="000000"/>
          <w:kern w:val="0"/>
          <w:sz w:val="32"/>
          <w:szCs w:val="32"/>
          <w:lang w:val="en-US" w:eastAsia="zh-CN"/>
        </w:rPr>
        <w:t>合同</w:t>
      </w:r>
      <w:r>
        <w:rPr>
          <w:rFonts w:hint="eastAsia" w:ascii="仿宋_GB2312" w:hAnsi="仿宋_GB2312" w:eastAsia="仿宋_GB2312" w:cs="仿宋_GB2312"/>
          <w:color w:val="000000"/>
          <w:kern w:val="0"/>
          <w:sz w:val="32"/>
          <w:szCs w:val="32"/>
        </w:rPr>
        <w:t>履行过程中产生争议，应本着友好的态度协商解决，协商不成，可向甲方所在地人民法院起诉。</w:t>
      </w:r>
    </w:p>
    <w:p w14:paraId="134E2748">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en-US" w:eastAsia="zh-CN"/>
        </w:rPr>
        <w:t>七</w:t>
      </w:r>
      <w:r>
        <w:rPr>
          <w:rFonts w:hint="eastAsia" w:ascii="仿宋_GB2312" w:hAnsi="仿宋_GB2312" w:eastAsia="仿宋_GB2312" w:cs="仿宋_GB2312"/>
          <w:color w:val="000000"/>
          <w:kern w:val="0"/>
          <w:sz w:val="32"/>
          <w:szCs w:val="32"/>
        </w:rPr>
        <w:t>、本</w:t>
      </w:r>
      <w:r>
        <w:rPr>
          <w:rFonts w:hint="eastAsia" w:ascii="仿宋_GB2312" w:hAnsi="仿宋_GB2312" w:eastAsia="仿宋_GB2312" w:cs="仿宋_GB2312"/>
          <w:color w:val="000000"/>
          <w:kern w:val="0"/>
          <w:sz w:val="32"/>
          <w:szCs w:val="32"/>
          <w:lang w:val="en-US" w:eastAsia="zh-CN"/>
        </w:rPr>
        <w:t>合同</w:t>
      </w:r>
      <w:r>
        <w:rPr>
          <w:rFonts w:hint="eastAsia" w:ascii="仿宋_GB2312" w:hAnsi="仿宋_GB2312" w:eastAsia="仿宋_GB2312" w:cs="仿宋_GB2312"/>
          <w:color w:val="000000"/>
          <w:kern w:val="0"/>
          <w:sz w:val="32"/>
          <w:szCs w:val="32"/>
        </w:rPr>
        <w:t>一式</w:t>
      </w:r>
      <w:r>
        <w:rPr>
          <w:rFonts w:hint="eastAsia" w:ascii="仿宋_GB2312" w:hAnsi="仿宋_GB2312" w:eastAsia="仿宋_GB2312" w:cs="仿宋_GB2312"/>
          <w:color w:val="000000"/>
          <w:kern w:val="0"/>
          <w:sz w:val="32"/>
          <w:szCs w:val="32"/>
          <w:lang w:eastAsia="zh-CN"/>
        </w:rPr>
        <w:t>肆</w:t>
      </w:r>
      <w:r>
        <w:rPr>
          <w:rFonts w:hint="eastAsia" w:ascii="仿宋_GB2312" w:hAnsi="仿宋_GB2312" w:eastAsia="仿宋_GB2312" w:cs="仿宋_GB2312"/>
          <w:color w:val="000000"/>
          <w:kern w:val="0"/>
          <w:sz w:val="32"/>
          <w:szCs w:val="32"/>
        </w:rPr>
        <w:t>份，甲乙双方各</w:t>
      </w:r>
      <w:r>
        <w:rPr>
          <w:rFonts w:hint="eastAsia" w:ascii="仿宋_GB2312" w:hAnsi="仿宋_GB2312" w:eastAsia="仿宋_GB2312" w:cs="仿宋_GB2312"/>
          <w:color w:val="000000"/>
          <w:kern w:val="0"/>
          <w:sz w:val="32"/>
          <w:szCs w:val="32"/>
          <w:lang w:eastAsia="zh-CN"/>
        </w:rPr>
        <w:t>贰</w:t>
      </w:r>
      <w:r>
        <w:rPr>
          <w:rFonts w:hint="eastAsia" w:ascii="仿宋_GB2312" w:hAnsi="仿宋_GB2312" w:eastAsia="仿宋_GB2312" w:cs="仿宋_GB2312"/>
          <w:color w:val="000000"/>
          <w:kern w:val="0"/>
          <w:sz w:val="32"/>
          <w:szCs w:val="32"/>
        </w:rPr>
        <w:t>份，经</w:t>
      </w:r>
      <w:r>
        <w:rPr>
          <w:rFonts w:hint="eastAsia" w:ascii="仿宋_GB2312" w:hAnsi="仿宋_GB2312" w:eastAsia="仿宋_GB2312" w:cs="仿宋_GB2312"/>
          <w:color w:val="000000"/>
          <w:kern w:val="0"/>
          <w:sz w:val="32"/>
          <w:szCs w:val="32"/>
          <w:lang w:val="en-US" w:eastAsia="zh-CN"/>
        </w:rPr>
        <w:t>双方</w:t>
      </w:r>
      <w:r>
        <w:rPr>
          <w:rFonts w:hint="eastAsia" w:ascii="仿宋_GB2312" w:hAnsi="仿宋_GB2312" w:eastAsia="仿宋_GB2312" w:cs="仿宋_GB2312"/>
          <w:color w:val="000000"/>
          <w:kern w:val="0"/>
          <w:sz w:val="32"/>
          <w:szCs w:val="32"/>
        </w:rPr>
        <w:t>签字</w:t>
      </w:r>
      <w:r>
        <w:rPr>
          <w:rFonts w:hint="eastAsia" w:ascii="仿宋_GB2312" w:hAnsi="仿宋_GB2312" w:eastAsia="仿宋_GB2312" w:cs="仿宋_GB2312"/>
          <w:color w:val="000000"/>
          <w:kern w:val="0"/>
          <w:sz w:val="32"/>
          <w:szCs w:val="32"/>
          <w:lang w:val="en-US" w:eastAsia="zh-CN"/>
        </w:rPr>
        <w:t>且</w:t>
      </w:r>
      <w:r>
        <w:rPr>
          <w:rFonts w:hint="eastAsia" w:ascii="仿宋_GB2312" w:hAnsi="仿宋_GB2312" w:eastAsia="仿宋_GB2312" w:cs="仿宋_GB2312"/>
          <w:color w:val="000000"/>
          <w:kern w:val="0"/>
          <w:sz w:val="32"/>
          <w:szCs w:val="32"/>
        </w:rPr>
        <w:t>盖章后生效，</w:t>
      </w:r>
      <w:r>
        <w:rPr>
          <w:rFonts w:hint="eastAsia" w:ascii="仿宋_GB2312" w:hAnsi="仿宋_GB2312" w:eastAsia="仿宋_GB2312" w:cs="仿宋_GB2312"/>
          <w:color w:val="000000"/>
          <w:kern w:val="0"/>
          <w:sz w:val="32"/>
          <w:szCs w:val="32"/>
          <w:lang w:val="en-US" w:eastAsia="zh-CN"/>
        </w:rPr>
        <w:t>肆</w:t>
      </w:r>
      <w:r>
        <w:rPr>
          <w:rFonts w:hint="eastAsia" w:ascii="仿宋_GB2312" w:hAnsi="仿宋_GB2312" w:eastAsia="仿宋_GB2312" w:cs="仿宋_GB2312"/>
          <w:color w:val="000000"/>
          <w:kern w:val="0"/>
          <w:sz w:val="32"/>
          <w:szCs w:val="32"/>
        </w:rPr>
        <w:t>份协议具有同等法律效力。</w:t>
      </w:r>
    </w:p>
    <w:p w14:paraId="7FAD1F7B">
      <w:pPr>
        <w:keepNext w:val="0"/>
        <w:keepLines w:val="0"/>
        <w:pageBreakBefore w:val="0"/>
        <w:widowControl/>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en-US" w:eastAsia="zh-CN"/>
        </w:rPr>
        <w:t>八</w:t>
      </w:r>
      <w:r>
        <w:rPr>
          <w:rFonts w:hint="eastAsia" w:ascii="仿宋_GB2312" w:hAnsi="仿宋_GB2312" w:eastAsia="仿宋_GB2312" w:cs="仿宋_GB2312"/>
          <w:color w:val="000000"/>
          <w:kern w:val="0"/>
          <w:sz w:val="32"/>
          <w:szCs w:val="32"/>
        </w:rPr>
        <w:t>、本</w:t>
      </w:r>
      <w:r>
        <w:rPr>
          <w:rFonts w:hint="eastAsia" w:ascii="仿宋_GB2312" w:hAnsi="仿宋_GB2312" w:eastAsia="仿宋_GB2312" w:cs="仿宋_GB2312"/>
          <w:color w:val="000000"/>
          <w:kern w:val="0"/>
          <w:sz w:val="32"/>
          <w:szCs w:val="32"/>
          <w:lang w:val="en-US" w:eastAsia="zh-CN"/>
        </w:rPr>
        <w:t>合同</w:t>
      </w:r>
      <w:r>
        <w:rPr>
          <w:rFonts w:hint="eastAsia" w:ascii="仿宋_GB2312" w:hAnsi="仿宋_GB2312" w:eastAsia="仿宋_GB2312" w:cs="仿宋_GB2312"/>
          <w:color w:val="000000"/>
          <w:kern w:val="0"/>
          <w:sz w:val="32"/>
          <w:szCs w:val="32"/>
        </w:rPr>
        <w:t>未尽事宜，双方可另行协商并签订书面补充协议；补充协议约定与本</w:t>
      </w:r>
      <w:r>
        <w:rPr>
          <w:rFonts w:hint="eastAsia" w:ascii="仿宋_GB2312" w:hAnsi="仿宋_GB2312" w:eastAsia="仿宋_GB2312" w:cs="仿宋_GB2312"/>
          <w:color w:val="000000"/>
          <w:kern w:val="0"/>
          <w:sz w:val="32"/>
          <w:szCs w:val="32"/>
          <w:lang w:val="en-US" w:eastAsia="zh-CN"/>
        </w:rPr>
        <w:t>合同</w:t>
      </w:r>
      <w:r>
        <w:rPr>
          <w:rFonts w:hint="eastAsia" w:ascii="仿宋_GB2312" w:hAnsi="仿宋_GB2312" w:eastAsia="仿宋_GB2312" w:cs="仿宋_GB2312"/>
          <w:color w:val="000000"/>
          <w:kern w:val="0"/>
          <w:sz w:val="32"/>
          <w:szCs w:val="32"/>
        </w:rPr>
        <w:t>约定不一致的，以补充协议约定为准并优先适用。</w:t>
      </w:r>
    </w:p>
    <w:p w14:paraId="193F345C">
      <w:pPr>
        <w:keepNext w:val="0"/>
        <w:keepLines w:val="0"/>
        <w:pageBreakBefore w:val="0"/>
        <w:widowControl/>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000000"/>
          <w:sz w:val="32"/>
          <w:szCs w:val="32"/>
        </w:rPr>
      </w:pPr>
    </w:p>
    <w:p w14:paraId="260F8A29">
      <w:pPr>
        <w:keepNext w:val="0"/>
        <w:keepLines w:val="0"/>
        <w:pageBreakBefore w:val="0"/>
        <w:widowControl/>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000000"/>
          <w:sz w:val="32"/>
          <w:szCs w:val="32"/>
        </w:rPr>
      </w:pPr>
    </w:p>
    <w:p w14:paraId="03984B6C">
      <w:pPr>
        <w:keepNext w:val="0"/>
        <w:keepLines w:val="0"/>
        <w:pageBreakBefore w:val="0"/>
        <w:widowControl/>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甲方：</w:t>
      </w:r>
      <w:r>
        <w:rPr>
          <w:rFonts w:hint="eastAsia" w:ascii="仿宋_GB2312" w:hAnsi="仿宋_GB2312" w:eastAsia="仿宋_GB2312" w:cs="仿宋_GB2312"/>
          <w:color w:val="000000"/>
          <w:sz w:val="32"/>
          <w:szCs w:val="32"/>
          <w:lang w:val="en-US" w:eastAsia="zh-CN"/>
        </w:rPr>
        <w:t>宁波市粮食收储有限公司</w:t>
      </w:r>
      <w:r>
        <w:rPr>
          <w:rFonts w:hint="eastAsia" w:ascii="仿宋_GB2312" w:hAnsi="仿宋_GB2312" w:eastAsia="仿宋_GB2312" w:cs="仿宋_GB2312"/>
          <w:color w:val="000000"/>
          <w:sz w:val="32"/>
          <w:szCs w:val="32"/>
        </w:rPr>
        <w:t>（盖章）</w:t>
      </w:r>
    </w:p>
    <w:p w14:paraId="565546C2">
      <w:pPr>
        <w:keepNext w:val="0"/>
        <w:keepLines w:val="0"/>
        <w:pageBreakBefore w:val="0"/>
        <w:widowControl/>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法人代表：                   </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 xml:space="preserve"> </w:t>
      </w:r>
      <w:r>
        <w:rPr>
          <w:rFonts w:hint="eastAsia" w:ascii="仿宋_GB2312" w:hAnsi="仿宋_GB2312" w:eastAsia="仿宋_GB2312" w:cs="仿宋_GB2312"/>
          <w:color w:val="000000"/>
          <w:sz w:val="32"/>
          <w:szCs w:val="32"/>
          <w:lang w:val="en-US" w:eastAsia="zh-CN"/>
        </w:rPr>
        <w:t xml:space="preserve">                </w:t>
      </w:r>
    </w:p>
    <w:p w14:paraId="3E15A5AE">
      <w:pPr>
        <w:keepNext w:val="0"/>
        <w:keepLines w:val="0"/>
        <w:pageBreakBefore w:val="0"/>
        <w:widowControl/>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委托代理人： </w:t>
      </w:r>
    </w:p>
    <w:p w14:paraId="1318E876">
      <w:pPr>
        <w:pStyle w:val="2"/>
        <w:keepNext w:val="0"/>
        <w:keepLines w:val="0"/>
        <w:pageBreakBefore w:val="0"/>
        <w:widowControl/>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p>
    <w:p w14:paraId="65EDA5CE">
      <w:pPr>
        <w:pStyle w:val="2"/>
        <w:keepNext w:val="0"/>
        <w:keepLines w:val="0"/>
        <w:pageBreakBefore w:val="0"/>
        <w:widowControl/>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p>
    <w:p w14:paraId="6A2459B3">
      <w:pPr>
        <w:keepNext w:val="0"/>
        <w:keepLines w:val="0"/>
        <w:pageBreakBefore w:val="0"/>
        <w:widowControl/>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乙方：</w:t>
      </w:r>
      <w:r>
        <w:rPr>
          <w:rFonts w:hint="eastAsia" w:ascii="仿宋_GB2312" w:hAnsi="仿宋_GB2312" w:eastAsia="仿宋_GB2312" w:cs="仿宋_GB2312"/>
          <w:color w:val="000000"/>
          <w:sz w:val="32"/>
          <w:szCs w:val="32"/>
          <w:lang w:val="en-US" w:eastAsia="zh-CN"/>
        </w:rPr>
        <w:t>XXXXXXXXXXXXXXXXXXXXX</w:t>
      </w:r>
      <w:r>
        <w:rPr>
          <w:rFonts w:hint="eastAsia" w:ascii="仿宋_GB2312" w:hAnsi="仿宋_GB2312" w:eastAsia="仿宋_GB2312" w:cs="仿宋_GB2312"/>
          <w:color w:val="000000"/>
          <w:sz w:val="32"/>
          <w:szCs w:val="32"/>
        </w:rPr>
        <w:t>（盖章）</w:t>
      </w:r>
    </w:p>
    <w:p w14:paraId="1292E3A7">
      <w:pPr>
        <w:keepNext w:val="0"/>
        <w:keepLines w:val="0"/>
        <w:pageBreakBefore w:val="0"/>
        <w:widowControl/>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法人代表：</w:t>
      </w:r>
    </w:p>
    <w:p w14:paraId="49A57FF0">
      <w:pPr>
        <w:keepNext w:val="0"/>
        <w:keepLines w:val="0"/>
        <w:pageBreakBefore w:val="0"/>
        <w:widowControl/>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rPr>
        <w:t>委托代理人：</w:t>
      </w:r>
      <w:r>
        <w:rPr>
          <w:rFonts w:hint="eastAsia" w:ascii="仿宋_GB2312" w:hAnsi="仿宋_GB2312" w:eastAsia="仿宋_GB2312" w:cs="仿宋_GB2312"/>
          <w:color w:val="000000"/>
          <w:sz w:val="32"/>
          <w:szCs w:val="32"/>
          <w:lang w:val="en-US" w:eastAsia="zh-CN"/>
        </w:rPr>
        <w:t xml:space="preserve">              </w:t>
      </w:r>
    </w:p>
    <w:p w14:paraId="72A99681">
      <w:pPr>
        <w:keepNext w:val="0"/>
        <w:keepLines w:val="0"/>
        <w:pageBreakBefore w:val="0"/>
        <w:widowControl/>
        <w:kinsoku/>
        <w:wordWrap/>
        <w:overflowPunct/>
        <w:topLinePunct w:val="0"/>
        <w:autoSpaceDE/>
        <w:autoSpaceDN/>
        <w:bidi w:val="0"/>
        <w:adjustRightInd/>
        <w:snapToGrid/>
        <w:spacing w:line="580" w:lineRule="exact"/>
        <w:ind w:firstLine="640" w:firstLineChars="200"/>
        <w:jc w:val="righ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日</w:t>
      </w:r>
    </w:p>
    <w:sectPr>
      <w:headerReference r:id="rId6" w:type="first"/>
      <w:footerReference r:id="rId9" w:type="first"/>
      <w:footerReference r:id="rId7" w:type="default"/>
      <w:headerReference r:id="rId5" w:type="even"/>
      <w:footerReference r:id="rId8" w:type="even"/>
      <w:pgSz w:w="11906" w:h="16838"/>
      <w:pgMar w:top="1440" w:right="1800" w:bottom="1440" w:left="1800"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BC8EBE4-1BCF-4EEF-A58B-B5046D05973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embedRegular r:id="rId2" w:fontKey="{3AADF416-DB7B-4473-A69F-8512C7BB5F07}"/>
  </w:font>
  <w:font w:name="方正小标宋简体">
    <w:panose1 w:val="02010600010101010101"/>
    <w:charset w:val="86"/>
    <w:family w:val="auto"/>
    <w:pitch w:val="default"/>
    <w:sig w:usb0="00000001" w:usb1="080E0000" w:usb2="00000000" w:usb3="00000000" w:csb0="00040000" w:csb1="00000000"/>
    <w:embedRegular r:id="rId3" w:fontKey="{DCEC9BD8-55B4-4AA3-985C-47471E9157FB}"/>
  </w:font>
  <w:font w:name="仿宋_GB2312">
    <w:panose1 w:val="02010609030101010101"/>
    <w:charset w:val="86"/>
    <w:family w:val="auto"/>
    <w:pitch w:val="default"/>
    <w:sig w:usb0="00000001" w:usb1="080E0000" w:usb2="00000000" w:usb3="00000000" w:csb0="00040000" w:csb1="00000000"/>
    <w:embedRegular r:id="rId4" w:fontKey="{396649F2-4DCF-4353-B06B-2782E5B6330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34B959">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4B4938F">
                          <w:pPr>
                            <w:pStyle w:val="8"/>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8bSus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pt6IoSxy0O/PLzx+XXn8vv72SZ&#10;5ekD1Jh1HzAvDe/8gEsz+wGdmfWgos1f5EMwjuKer+LKIRGRH61X63WFIYGx+YL47OF5iJDeS29J&#10;NhoacXpFVH76CGlMnVNyNefvtDFlgsb940DM7GG597HHbKVhP0yE9r49I58eB99Qh3tOifngUNe8&#10;I7MRZ2M/G8cQ9aErS5TrQbg9Jmyi9JYrjLBTYZxYYTdtV16Jx/eS9fBHbf8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PfG0rrIAQAAmQMAAA4AAAAAAAAAAQAgAAAAHgEAAGRycy9lMm9Eb2Mu&#10;eG1sUEsFBgAAAAAGAAYAWQEAAFgFAAAAAA==&#10;">
              <v:fill on="f" focussize="0,0"/>
              <v:stroke on="f"/>
              <v:imagedata o:title=""/>
              <o:lock v:ext="edit" aspectratio="f"/>
              <v:textbox inset="0mm,0mm,0mm,0mm" style="mso-fit-shape-to-text:t;">
                <w:txbxContent>
                  <w:p w14:paraId="04B4938F">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8D4842">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AD7002">
    <w:pPr>
      <w:pStyle w:val="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079D89">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06CEFA">
    <w:pPr>
      <w:pStyle w:val="9"/>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ZiZTcwZWI1MWQ3ZWQ3MzgwMzlkOGRjNTI0NzZmNWIifQ=="/>
  </w:docVars>
  <w:rsids>
    <w:rsidRoot w:val="00F325EB"/>
    <w:rsid w:val="00002826"/>
    <w:rsid w:val="00002889"/>
    <w:rsid w:val="000067D0"/>
    <w:rsid w:val="00020008"/>
    <w:rsid w:val="00023BC5"/>
    <w:rsid w:val="00037858"/>
    <w:rsid w:val="000425BF"/>
    <w:rsid w:val="00046E1C"/>
    <w:rsid w:val="00051C3A"/>
    <w:rsid w:val="000533EC"/>
    <w:rsid w:val="00055284"/>
    <w:rsid w:val="0006011C"/>
    <w:rsid w:val="00060568"/>
    <w:rsid w:val="00062E05"/>
    <w:rsid w:val="00071327"/>
    <w:rsid w:val="000756F3"/>
    <w:rsid w:val="00080A45"/>
    <w:rsid w:val="00085D30"/>
    <w:rsid w:val="0008636C"/>
    <w:rsid w:val="00093BD9"/>
    <w:rsid w:val="00095069"/>
    <w:rsid w:val="000A643A"/>
    <w:rsid w:val="000A78FB"/>
    <w:rsid w:val="000B0067"/>
    <w:rsid w:val="000B55D4"/>
    <w:rsid w:val="000D6E99"/>
    <w:rsid w:val="000E1E2D"/>
    <w:rsid w:val="000F6927"/>
    <w:rsid w:val="00100261"/>
    <w:rsid w:val="00102161"/>
    <w:rsid w:val="00102E6C"/>
    <w:rsid w:val="00104D48"/>
    <w:rsid w:val="00107473"/>
    <w:rsid w:val="00117564"/>
    <w:rsid w:val="00121056"/>
    <w:rsid w:val="00136FB5"/>
    <w:rsid w:val="001459A1"/>
    <w:rsid w:val="001506B8"/>
    <w:rsid w:val="00163938"/>
    <w:rsid w:val="00165382"/>
    <w:rsid w:val="00174EE2"/>
    <w:rsid w:val="0018274B"/>
    <w:rsid w:val="00183DFB"/>
    <w:rsid w:val="00191E90"/>
    <w:rsid w:val="001B0647"/>
    <w:rsid w:val="001C0B19"/>
    <w:rsid w:val="001C1626"/>
    <w:rsid w:val="001C18A2"/>
    <w:rsid w:val="001C3CD2"/>
    <w:rsid w:val="001C5E3C"/>
    <w:rsid w:val="001D561A"/>
    <w:rsid w:val="001D7810"/>
    <w:rsid w:val="001E5B08"/>
    <w:rsid w:val="001F02E7"/>
    <w:rsid w:val="001F1BEB"/>
    <w:rsid w:val="001F5311"/>
    <w:rsid w:val="00200B5F"/>
    <w:rsid w:val="00217286"/>
    <w:rsid w:val="002224A5"/>
    <w:rsid w:val="002235CC"/>
    <w:rsid w:val="00226E43"/>
    <w:rsid w:val="00242C52"/>
    <w:rsid w:val="00245B66"/>
    <w:rsid w:val="00251F84"/>
    <w:rsid w:val="00251FBF"/>
    <w:rsid w:val="00256A59"/>
    <w:rsid w:val="002642ED"/>
    <w:rsid w:val="00267C78"/>
    <w:rsid w:val="0027448B"/>
    <w:rsid w:val="00274E1F"/>
    <w:rsid w:val="002776DC"/>
    <w:rsid w:val="00281248"/>
    <w:rsid w:val="0028190E"/>
    <w:rsid w:val="00281FDD"/>
    <w:rsid w:val="00282525"/>
    <w:rsid w:val="00287DCA"/>
    <w:rsid w:val="0029593D"/>
    <w:rsid w:val="002A16B7"/>
    <w:rsid w:val="002B7728"/>
    <w:rsid w:val="002D19C2"/>
    <w:rsid w:val="002E20A2"/>
    <w:rsid w:val="002E51DB"/>
    <w:rsid w:val="002E5A58"/>
    <w:rsid w:val="002E722A"/>
    <w:rsid w:val="00306223"/>
    <w:rsid w:val="0030721B"/>
    <w:rsid w:val="0031615A"/>
    <w:rsid w:val="003244DE"/>
    <w:rsid w:val="00330580"/>
    <w:rsid w:val="00331468"/>
    <w:rsid w:val="00331D68"/>
    <w:rsid w:val="00353DA4"/>
    <w:rsid w:val="00364791"/>
    <w:rsid w:val="00367200"/>
    <w:rsid w:val="003729A7"/>
    <w:rsid w:val="0038072C"/>
    <w:rsid w:val="0038103B"/>
    <w:rsid w:val="003834C1"/>
    <w:rsid w:val="00383623"/>
    <w:rsid w:val="003856B5"/>
    <w:rsid w:val="00390131"/>
    <w:rsid w:val="003A013C"/>
    <w:rsid w:val="003A1903"/>
    <w:rsid w:val="003C16A9"/>
    <w:rsid w:val="003C19D7"/>
    <w:rsid w:val="003C318F"/>
    <w:rsid w:val="003E5410"/>
    <w:rsid w:val="004007B6"/>
    <w:rsid w:val="00402F6C"/>
    <w:rsid w:val="004305C6"/>
    <w:rsid w:val="004333AD"/>
    <w:rsid w:val="00435C9A"/>
    <w:rsid w:val="00443BE5"/>
    <w:rsid w:val="004478AD"/>
    <w:rsid w:val="0046045D"/>
    <w:rsid w:val="004709C7"/>
    <w:rsid w:val="00477580"/>
    <w:rsid w:val="00485E69"/>
    <w:rsid w:val="00486E26"/>
    <w:rsid w:val="00491585"/>
    <w:rsid w:val="00497169"/>
    <w:rsid w:val="004A1C7B"/>
    <w:rsid w:val="004A5075"/>
    <w:rsid w:val="004A6AC4"/>
    <w:rsid w:val="004B6BD9"/>
    <w:rsid w:val="004C0D48"/>
    <w:rsid w:val="004C1EE8"/>
    <w:rsid w:val="004C32C1"/>
    <w:rsid w:val="004D6A65"/>
    <w:rsid w:val="004E5A49"/>
    <w:rsid w:val="004E769A"/>
    <w:rsid w:val="004F663A"/>
    <w:rsid w:val="00501F19"/>
    <w:rsid w:val="00502A06"/>
    <w:rsid w:val="0050702A"/>
    <w:rsid w:val="0050724F"/>
    <w:rsid w:val="005133AF"/>
    <w:rsid w:val="0051505E"/>
    <w:rsid w:val="005161B7"/>
    <w:rsid w:val="005272E0"/>
    <w:rsid w:val="00530327"/>
    <w:rsid w:val="00531F05"/>
    <w:rsid w:val="00532514"/>
    <w:rsid w:val="00536DC2"/>
    <w:rsid w:val="0054177D"/>
    <w:rsid w:val="00553F6E"/>
    <w:rsid w:val="00555AAA"/>
    <w:rsid w:val="00561060"/>
    <w:rsid w:val="005610A1"/>
    <w:rsid w:val="00562602"/>
    <w:rsid w:val="005710EB"/>
    <w:rsid w:val="00571B09"/>
    <w:rsid w:val="0057221B"/>
    <w:rsid w:val="00574350"/>
    <w:rsid w:val="00576736"/>
    <w:rsid w:val="005779A6"/>
    <w:rsid w:val="00581C86"/>
    <w:rsid w:val="005850B2"/>
    <w:rsid w:val="00593B85"/>
    <w:rsid w:val="00597502"/>
    <w:rsid w:val="005A70AF"/>
    <w:rsid w:val="005B317D"/>
    <w:rsid w:val="005B7D4C"/>
    <w:rsid w:val="005C4212"/>
    <w:rsid w:val="005D302A"/>
    <w:rsid w:val="005D482F"/>
    <w:rsid w:val="005E5586"/>
    <w:rsid w:val="005F3C7E"/>
    <w:rsid w:val="005F587B"/>
    <w:rsid w:val="005F5AAF"/>
    <w:rsid w:val="00604561"/>
    <w:rsid w:val="00633220"/>
    <w:rsid w:val="00635373"/>
    <w:rsid w:val="006377A9"/>
    <w:rsid w:val="00640B6C"/>
    <w:rsid w:val="00641684"/>
    <w:rsid w:val="00651CFE"/>
    <w:rsid w:val="0065228E"/>
    <w:rsid w:val="00656698"/>
    <w:rsid w:val="00662B76"/>
    <w:rsid w:val="00664064"/>
    <w:rsid w:val="006643A1"/>
    <w:rsid w:val="006656F5"/>
    <w:rsid w:val="006679A2"/>
    <w:rsid w:val="0067472E"/>
    <w:rsid w:val="0067633F"/>
    <w:rsid w:val="00680564"/>
    <w:rsid w:val="00691FFF"/>
    <w:rsid w:val="0069211B"/>
    <w:rsid w:val="006A28F7"/>
    <w:rsid w:val="006A2A8A"/>
    <w:rsid w:val="006B16CB"/>
    <w:rsid w:val="006C273F"/>
    <w:rsid w:val="006C3158"/>
    <w:rsid w:val="006C4CA3"/>
    <w:rsid w:val="006D1C37"/>
    <w:rsid w:val="006D2842"/>
    <w:rsid w:val="006E35E1"/>
    <w:rsid w:val="006E70FE"/>
    <w:rsid w:val="006F75B5"/>
    <w:rsid w:val="0070151A"/>
    <w:rsid w:val="00706CFA"/>
    <w:rsid w:val="0072010C"/>
    <w:rsid w:val="007213F7"/>
    <w:rsid w:val="00722D21"/>
    <w:rsid w:val="00724015"/>
    <w:rsid w:val="00730369"/>
    <w:rsid w:val="00747F9F"/>
    <w:rsid w:val="00752609"/>
    <w:rsid w:val="00776FEC"/>
    <w:rsid w:val="00783B1A"/>
    <w:rsid w:val="007967A2"/>
    <w:rsid w:val="007969DF"/>
    <w:rsid w:val="007A5755"/>
    <w:rsid w:val="007A6A78"/>
    <w:rsid w:val="007B66A0"/>
    <w:rsid w:val="007C7761"/>
    <w:rsid w:val="007D0B01"/>
    <w:rsid w:val="007D299D"/>
    <w:rsid w:val="007D2FCA"/>
    <w:rsid w:val="007F1476"/>
    <w:rsid w:val="007F2213"/>
    <w:rsid w:val="00810367"/>
    <w:rsid w:val="008110F2"/>
    <w:rsid w:val="008142B1"/>
    <w:rsid w:val="00814FAA"/>
    <w:rsid w:val="00824C43"/>
    <w:rsid w:val="00831C5B"/>
    <w:rsid w:val="00831DDB"/>
    <w:rsid w:val="00840D50"/>
    <w:rsid w:val="00845142"/>
    <w:rsid w:val="00846414"/>
    <w:rsid w:val="008500F0"/>
    <w:rsid w:val="008508A5"/>
    <w:rsid w:val="00853FDB"/>
    <w:rsid w:val="008617FB"/>
    <w:rsid w:val="008628EB"/>
    <w:rsid w:val="00872B12"/>
    <w:rsid w:val="008751DF"/>
    <w:rsid w:val="00876273"/>
    <w:rsid w:val="00876851"/>
    <w:rsid w:val="008860B5"/>
    <w:rsid w:val="00890C1F"/>
    <w:rsid w:val="00892E93"/>
    <w:rsid w:val="008967FC"/>
    <w:rsid w:val="00897176"/>
    <w:rsid w:val="008A2A47"/>
    <w:rsid w:val="008A49CD"/>
    <w:rsid w:val="008B78B7"/>
    <w:rsid w:val="008C19DB"/>
    <w:rsid w:val="008C1AB7"/>
    <w:rsid w:val="008D4C77"/>
    <w:rsid w:val="008D4CDC"/>
    <w:rsid w:val="008D7CE0"/>
    <w:rsid w:val="008E38E8"/>
    <w:rsid w:val="008E59A3"/>
    <w:rsid w:val="008F1864"/>
    <w:rsid w:val="008F72BA"/>
    <w:rsid w:val="00900780"/>
    <w:rsid w:val="009026DD"/>
    <w:rsid w:val="0090403E"/>
    <w:rsid w:val="00911232"/>
    <w:rsid w:val="009112D6"/>
    <w:rsid w:val="0091663E"/>
    <w:rsid w:val="00921CBE"/>
    <w:rsid w:val="00924FF2"/>
    <w:rsid w:val="00925201"/>
    <w:rsid w:val="00943787"/>
    <w:rsid w:val="0094497F"/>
    <w:rsid w:val="00946A01"/>
    <w:rsid w:val="009548C5"/>
    <w:rsid w:val="009616F9"/>
    <w:rsid w:val="00961B92"/>
    <w:rsid w:val="00963993"/>
    <w:rsid w:val="0096466E"/>
    <w:rsid w:val="009648CA"/>
    <w:rsid w:val="00965DD2"/>
    <w:rsid w:val="0097526C"/>
    <w:rsid w:val="00975E6C"/>
    <w:rsid w:val="009835E9"/>
    <w:rsid w:val="00995A73"/>
    <w:rsid w:val="00997BBC"/>
    <w:rsid w:val="009A639C"/>
    <w:rsid w:val="009A6786"/>
    <w:rsid w:val="009B30F8"/>
    <w:rsid w:val="009B4CF0"/>
    <w:rsid w:val="009C0B4F"/>
    <w:rsid w:val="009C1177"/>
    <w:rsid w:val="009D78C5"/>
    <w:rsid w:val="009E397E"/>
    <w:rsid w:val="009E3A7D"/>
    <w:rsid w:val="009F1CD9"/>
    <w:rsid w:val="00A151BC"/>
    <w:rsid w:val="00A1754A"/>
    <w:rsid w:val="00A25730"/>
    <w:rsid w:val="00A456E6"/>
    <w:rsid w:val="00A47682"/>
    <w:rsid w:val="00A53C18"/>
    <w:rsid w:val="00A55BAC"/>
    <w:rsid w:val="00A72278"/>
    <w:rsid w:val="00A728DD"/>
    <w:rsid w:val="00A73050"/>
    <w:rsid w:val="00A82723"/>
    <w:rsid w:val="00A8473B"/>
    <w:rsid w:val="00A8496E"/>
    <w:rsid w:val="00A865BB"/>
    <w:rsid w:val="00A867D1"/>
    <w:rsid w:val="00A94E28"/>
    <w:rsid w:val="00A95BAA"/>
    <w:rsid w:val="00AA60E7"/>
    <w:rsid w:val="00AA7BC6"/>
    <w:rsid w:val="00AB266D"/>
    <w:rsid w:val="00AC2A91"/>
    <w:rsid w:val="00AC38DF"/>
    <w:rsid w:val="00AC55CF"/>
    <w:rsid w:val="00AD4692"/>
    <w:rsid w:val="00AE44F4"/>
    <w:rsid w:val="00AF4D57"/>
    <w:rsid w:val="00AF6293"/>
    <w:rsid w:val="00AF6B95"/>
    <w:rsid w:val="00AF794D"/>
    <w:rsid w:val="00B01545"/>
    <w:rsid w:val="00B03575"/>
    <w:rsid w:val="00B108AC"/>
    <w:rsid w:val="00B1187F"/>
    <w:rsid w:val="00B12777"/>
    <w:rsid w:val="00B14FAE"/>
    <w:rsid w:val="00B16723"/>
    <w:rsid w:val="00B179C3"/>
    <w:rsid w:val="00B311E3"/>
    <w:rsid w:val="00B41195"/>
    <w:rsid w:val="00B56615"/>
    <w:rsid w:val="00B71F27"/>
    <w:rsid w:val="00B80204"/>
    <w:rsid w:val="00B80D5C"/>
    <w:rsid w:val="00B946BD"/>
    <w:rsid w:val="00BB482B"/>
    <w:rsid w:val="00BB5E31"/>
    <w:rsid w:val="00BC22E9"/>
    <w:rsid w:val="00BD35D2"/>
    <w:rsid w:val="00BE2E88"/>
    <w:rsid w:val="00BE7814"/>
    <w:rsid w:val="00BF1364"/>
    <w:rsid w:val="00BF2F50"/>
    <w:rsid w:val="00BF535C"/>
    <w:rsid w:val="00BF558D"/>
    <w:rsid w:val="00C0195E"/>
    <w:rsid w:val="00C110F7"/>
    <w:rsid w:val="00C21175"/>
    <w:rsid w:val="00C27720"/>
    <w:rsid w:val="00C27AE2"/>
    <w:rsid w:val="00C319D6"/>
    <w:rsid w:val="00C356A8"/>
    <w:rsid w:val="00C40A2F"/>
    <w:rsid w:val="00C42F62"/>
    <w:rsid w:val="00C641CA"/>
    <w:rsid w:val="00C65A7C"/>
    <w:rsid w:val="00C71DE3"/>
    <w:rsid w:val="00C72877"/>
    <w:rsid w:val="00C76D22"/>
    <w:rsid w:val="00C76FD5"/>
    <w:rsid w:val="00C80F39"/>
    <w:rsid w:val="00C827C4"/>
    <w:rsid w:val="00C863BF"/>
    <w:rsid w:val="00C90711"/>
    <w:rsid w:val="00C909F4"/>
    <w:rsid w:val="00C94FCC"/>
    <w:rsid w:val="00C9537C"/>
    <w:rsid w:val="00CA2D59"/>
    <w:rsid w:val="00CA6EB4"/>
    <w:rsid w:val="00CB23EB"/>
    <w:rsid w:val="00CB3F0C"/>
    <w:rsid w:val="00CB77DB"/>
    <w:rsid w:val="00CC3AD3"/>
    <w:rsid w:val="00CC7DBC"/>
    <w:rsid w:val="00CD6106"/>
    <w:rsid w:val="00CE16C2"/>
    <w:rsid w:val="00CE7015"/>
    <w:rsid w:val="00CF5808"/>
    <w:rsid w:val="00D03629"/>
    <w:rsid w:val="00D04ED5"/>
    <w:rsid w:val="00D05FA0"/>
    <w:rsid w:val="00D165E9"/>
    <w:rsid w:val="00D16CB1"/>
    <w:rsid w:val="00D230A6"/>
    <w:rsid w:val="00D266F7"/>
    <w:rsid w:val="00D27F3E"/>
    <w:rsid w:val="00D35E27"/>
    <w:rsid w:val="00D42E96"/>
    <w:rsid w:val="00D433EE"/>
    <w:rsid w:val="00D43583"/>
    <w:rsid w:val="00D440AC"/>
    <w:rsid w:val="00D535B1"/>
    <w:rsid w:val="00D60E04"/>
    <w:rsid w:val="00D73386"/>
    <w:rsid w:val="00D82FD3"/>
    <w:rsid w:val="00D92021"/>
    <w:rsid w:val="00DA237B"/>
    <w:rsid w:val="00DA258A"/>
    <w:rsid w:val="00DB239C"/>
    <w:rsid w:val="00DB79B2"/>
    <w:rsid w:val="00DC0865"/>
    <w:rsid w:val="00DC3EC0"/>
    <w:rsid w:val="00DD1D72"/>
    <w:rsid w:val="00DD21FC"/>
    <w:rsid w:val="00DD2B0F"/>
    <w:rsid w:val="00DD5D92"/>
    <w:rsid w:val="00DF151D"/>
    <w:rsid w:val="00DF3301"/>
    <w:rsid w:val="00DF6F51"/>
    <w:rsid w:val="00E017C6"/>
    <w:rsid w:val="00E01A61"/>
    <w:rsid w:val="00E02664"/>
    <w:rsid w:val="00E125C6"/>
    <w:rsid w:val="00E12E09"/>
    <w:rsid w:val="00E34A3F"/>
    <w:rsid w:val="00E35C3F"/>
    <w:rsid w:val="00E37E8B"/>
    <w:rsid w:val="00E44EA5"/>
    <w:rsid w:val="00E45E24"/>
    <w:rsid w:val="00E52CA5"/>
    <w:rsid w:val="00E666FC"/>
    <w:rsid w:val="00E672F9"/>
    <w:rsid w:val="00E76E4C"/>
    <w:rsid w:val="00E8408F"/>
    <w:rsid w:val="00E84CE1"/>
    <w:rsid w:val="00EA1A1A"/>
    <w:rsid w:val="00EA3638"/>
    <w:rsid w:val="00EB6019"/>
    <w:rsid w:val="00EC1629"/>
    <w:rsid w:val="00ED2239"/>
    <w:rsid w:val="00ED71A9"/>
    <w:rsid w:val="00ED7F53"/>
    <w:rsid w:val="00EE40DC"/>
    <w:rsid w:val="00EE6FEF"/>
    <w:rsid w:val="00EF2E81"/>
    <w:rsid w:val="00EF3CDB"/>
    <w:rsid w:val="00F010CA"/>
    <w:rsid w:val="00F0116C"/>
    <w:rsid w:val="00F0381D"/>
    <w:rsid w:val="00F20F56"/>
    <w:rsid w:val="00F26568"/>
    <w:rsid w:val="00F26C99"/>
    <w:rsid w:val="00F27CB3"/>
    <w:rsid w:val="00F312E7"/>
    <w:rsid w:val="00F325EB"/>
    <w:rsid w:val="00F330FB"/>
    <w:rsid w:val="00F36D44"/>
    <w:rsid w:val="00F4126D"/>
    <w:rsid w:val="00F422A9"/>
    <w:rsid w:val="00F4452F"/>
    <w:rsid w:val="00F61EC9"/>
    <w:rsid w:val="00F6616D"/>
    <w:rsid w:val="00F74A95"/>
    <w:rsid w:val="00F76E01"/>
    <w:rsid w:val="00F811F3"/>
    <w:rsid w:val="00F84E82"/>
    <w:rsid w:val="00F8742C"/>
    <w:rsid w:val="00F903B1"/>
    <w:rsid w:val="00F93BBE"/>
    <w:rsid w:val="00FA405E"/>
    <w:rsid w:val="00FB1BA1"/>
    <w:rsid w:val="00FB58C7"/>
    <w:rsid w:val="00FB726A"/>
    <w:rsid w:val="00FC1CC0"/>
    <w:rsid w:val="00FC3128"/>
    <w:rsid w:val="00FC3D70"/>
    <w:rsid w:val="00FC5925"/>
    <w:rsid w:val="00FD35BA"/>
    <w:rsid w:val="00FE335D"/>
    <w:rsid w:val="00FE632C"/>
    <w:rsid w:val="00FF0D6A"/>
    <w:rsid w:val="00FF173A"/>
    <w:rsid w:val="00FF23B7"/>
    <w:rsid w:val="013150C4"/>
    <w:rsid w:val="0147778C"/>
    <w:rsid w:val="014C6B51"/>
    <w:rsid w:val="021C4A9D"/>
    <w:rsid w:val="026F42FD"/>
    <w:rsid w:val="02C244B3"/>
    <w:rsid w:val="03711A83"/>
    <w:rsid w:val="03E70DB3"/>
    <w:rsid w:val="040E27E3"/>
    <w:rsid w:val="046857E3"/>
    <w:rsid w:val="04DF7CDC"/>
    <w:rsid w:val="05850883"/>
    <w:rsid w:val="065E09A6"/>
    <w:rsid w:val="067515FD"/>
    <w:rsid w:val="07C44A7B"/>
    <w:rsid w:val="08AA23AF"/>
    <w:rsid w:val="0B1A1A6E"/>
    <w:rsid w:val="0B3C62E0"/>
    <w:rsid w:val="0B676233"/>
    <w:rsid w:val="0B772ABA"/>
    <w:rsid w:val="0BDE2A9B"/>
    <w:rsid w:val="0BFC73C5"/>
    <w:rsid w:val="0C512DC3"/>
    <w:rsid w:val="0D901870"/>
    <w:rsid w:val="0D9236D6"/>
    <w:rsid w:val="0DF719ED"/>
    <w:rsid w:val="0EEE56EB"/>
    <w:rsid w:val="0F4060E9"/>
    <w:rsid w:val="101514C1"/>
    <w:rsid w:val="1032785A"/>
    <w:rsid w:val="11301FEB"/>
    <w:rsid w:val="11491E91"/>
    <w:rsid w:val="11B85C6A"/>
    <w:rsid w:val="126B0E01"/>
    <w:rsid w:val="12822730"/>
    <w:rsid w:val="134C70EB"/>
    <w:rsid w:val="135B0E75"/>
    <w:rsid w:val="1404445B"/>
    <w:rsid w:val="14411E19"/>
    <w:rsid w:val="15202D53"/>
    <w:rsid w:val="15983343"/>
    <w:rsid w:val="165C6C0C"/>
    <w:rsid w:val="16D57191"/>
    <w:rsid w:val="17741D0A"/>
    <w:rsid w:val="17D42FA4"/>
    <w:rsid w:val="18587AC1"/>
    <w:rsid w:val="186936F3"/>
    <w:rsid w:val="18B352B0"/>
    <w:rsid w:val="18CD45C3"/>
    <w:rsid w:val="197F27F4"/>
    <w:rsid w:val="1A606D71"/>
    <w:rsid w:val="1AB64BE3"/>
    <w:rsid w:val="1B2D3EE7"/>
    <w:rsid w:val="1BD31427"/>
    <w:rsid w:val="1BEF2AA3"/>
    <w:rsid w:val="1C0876C1"/>
    <w:rsid w:val="1ECE4BF1"/>
    <w:rsid w:val="1F596AC0"/>
    <w:rsid w:val="200D799B"/>
    <w:rsid w:val="202C7E22"/>
    <w:rsid w:val="21DA38AD"/>
    <w:rsid w:val="22A614B7"/>
    <w:rsid w:val="23825FAA"/>
    <w:rsid w:val="24A7216D"/>
    <w:rsid w:val="25900E53"/>
    <w:rsid w:val="25C91C6F"/>
    <w:rsid w:val="26154EB4"/>
    <w:rsid w:val="2685337C"/>
    <w:rsid w:val="27082D17"/>
    <w:rsid w:val="27351CB2"/>
    <w:rsid w:val="282011E6"/>
    <w:rsid w:val="283C7070"/>
    <w:rsid w:val="28404CF2"/>
    <w:rsid w:val="289F186F"/>
    <w:rsid w:val="29A025A4"/>
    <w:rsid w:val="2A3C3357"/>
    <w:rsid w:val="2A6B7798"/>
    <w:rsid w:val="2A907A5B"/>
    <w:rsid w:val="2AFA2E92"/>
    <w:rsid w:val="2B6568DD"/>
    <w:rsid w:val="2B67069A"/>
    <w:rsid w:val="2C70553A"/>
    <w:rsid w:val="2CED56C8"/>
    <w:rsid w:val="2D340315"/>
    <w:rsid w:val="2D99286E"/>
    <w:rsid w:val="2E206AEC"/>
    <w:rsid w:val="2E447CFB"/>
    <w:rsid w:val="2E7D7672"/>
    <w:rsid w:val="2EE6563F"/>
    <w:rsid w:val="3018056D"/>
    <w:rsid w:val="305A6FA0"/>
    <w:rsid w:val="306B04F2"/>
    <w:rsid w:val="30A25EDE"/>
    <w:rsid w:val="314E571E"/>
    <w:rsid w:val="32024E86"/>
    <w:rsid w:val="320B504C"/>
    <w:rsid w:val="321B434F"/>
    <w:rsid w:val="33DA14EB"/>
    <w:rsid w:val="348237EF"/>
    <w:rsid w:val="34CF6B76"/>
    <w:rsid w:val="362C0724"/>
    <w:rsid w:val="365E28A7"/>
    <w:rsid w:val="36974227"/>
    <w:rsid w:val="37BC5AD7"/>
    <w:rsid w:val="37C74CFE"/>
    <w:rsid w:val="37EA565C"/>
    <w:rsid w:val="38A4427A"/>
    <w:rsid w:val="39551436"/>
    <w:rsid w:val="3AEA295B"/>
    <w:rsid w:val="3BD66A3C"/>
    <w:rsid w:val="3C133812"/>
    <w:rsid w:val="3C2D6F7A"/>
    <w:rsid w:val="3C2E5BEB"/>
    <w:rsid w:val="3CCC02C0"/>
    <w:rsid w:val="3DBE52F0"/>
    <w:rsid w:val="3E772758"/>
    <w:rsid w:val="3E9926CE"/>
    <w:rsid w:val="3EDA6843"/>
    <w:rsid w:val="3F083002"/>
    <w:rsid w:val="3FFA0722"/>
    <w:rsid w:val="401A783F"/>
    <w:rsid w:val="426840C4"/>
    <w:rsid w:val="43906B67"/>
    <w:rsid w:val="44113205"/>
    <w:rsid w:val="448449BD"/>
    <w:rsid w:val="451707F1"/>
    <w:rsid w:val="452D591E"/>
    <w:rsid w:val="4588524B"/>
    <w:rsid w:val="45D52FF5"/>
    <w:rsid w:val="45D91C54"/>
    <w:rsid w:val="462F7858"/>
    <w:rsid w:val="464E30C8"/>
    <w:rsid w:val="465D27E2"/>
    <w:rsid w:val="4675095B"/>
    <w:rsid w:val="468452BE"/>
    <w:rsid w:val="46C54618"/>
    <w:rsid w:val="48CD7592"/>
    <w:rsid w:val="496708CE"/>
    <w:rsid w:val="49875290"/>
    <w:rsid w:val="49C56A6D"/>
    <w:rsid w:val="4A24615A"/>
    <w:rsid w:val="4A723EF8"/>
    <w:rsid w:val="4A954692"/>
    <w:rsid w:val="4AA7291C"/>
    <w:rsid w:val="4ACE1952"/>
    <w:rsid w:val="4B2652EA"/>
    <w:rsid w:val="4B333114"/>
    <w:rsid w:val="4B752CD7"/>
    <w:rsid w:val="4B983D0E"/>
    <w:rsid w:val="4C586F00"/>
    <w:rsid w:val="4CF17B79"/>
    <w:rsid w:val="4D3F6FBF"/>
    <w:rsid w:val="4D84279B"/>
    <w:rsid w:val="4DA42E3E"/>
    <w:rsid w:val="4DC66910"/>
    <w:rsid w:val="4DE30B00"/>
    <w:rsid w:val="4E6426AA"/>
    <w:rsid w:val="4E6525CD"/>
    <w:rsid w:val="4EC372F3"/>
    <w:rsid w:val="4EF75CB0"/>
    <w:rsid w:val="4F3901A8"/>
    <w:rsid w:val="4F443F90"/>
    <w:rsid w:val="4F55221A"/>
    <w:rsid w:val="4FCC3F86"/>
    <w:rsid w:val="500B32A2"/>
    <w:rsid w:val="501222E0"/>
    <w:rsid w:val="50615016"/>
    <w:rsid w:val="519F1952"/>
    <w:rsid w:val="51F4669F"/>
    <w:rsid w:val="52E864A0"/>
    <w:rsid w:val="53B4545D"/>
    <w:rsid w:val="53CB1124"/>
    <w:rsid w:val="53E915BA"/>
    <w:rsid w:val="544905C5"/>
    <w:rsid w:val="545804DE"/>
    <w:rsid w:val="54DA6088"/>
    <w:rsid w:val="54F56ADF"/>
    <w:rsid w:val="55B87AA9"/>
    <w:rsid w:val="574C5A70"/>
    <w:rsid w:val="581A2186"/>
    <w:rsid w:val="583A6878"/>
    <w:rsid w:val="586114F6"/>
    <w:rsid w:val="59213594"/>
    <w:rsid w:val="59484FC5"/>
    <w:rsid w:val="59D46859"/>
    <w:rsid w:val="5AF74E87"/>
    <w:rsid w:val="5B353327"/>
    <w:rsid w:val="5C8E0F41"/>
    <w:rsid w:val="5CEC2097"/>
    <w:rsid w:val="5D064F7B"/>
    <w:rsid w:val="5D8D56AE"/>
    <w:rsid w:val="5DD623A9"/>
    <w:rsid w:val="5DD85874"/>
    <w:rsid w:val="5E817423"/>
    <w:rsid w:val="5EBB08CA"/>
    <w:rsid w:val="5F8623A3"/>
    <w:rsid w:val="5F986748"/>
    <w:rsid w:val="5FBE1B3D"/>
    <w:rsid w:val="5FD5703B"/>
    <w:rsid w:val="60600703"/>
    <w:rsid w:val="607448F1"/>
    <w:rsid w:val="612B3202"/>
    <w:rsid w:val="61BA3795"/>
    <w:rsid w:val="61FC36DB"/>
    <w:rsid w:val="62037CDB"/>
    <w:rsid w:val="62045598"/>
    <w:rsid w:val="62EF575E"/>
    <w:rsid w:val="6326394F"/>
    <w:rsid w:val="63752A3B"/>
    <w:rsid w:val="638F0865"/>
    <w:rsid w:val="63E21DEB"/>
    <w:rsid w:val="64416899"/>
    <w:rsid w:val="65991B18"/>
    <w:rsid w:val="66D54F56"/>
    <w:rsid w:val="67515045"/>
    <w:rsid w:val="67B22441"/>
    <w:rsid w:val="684B418A"/>
    <w:rsid w:val="68B95706"/>
    <w:rsid w:val="68D75A1D"/>
    <w:rsid w:val="6A283C37"/>
    <w:rsid w:val="6A7F27AF"/>
    <w:rsid w:val="6AF6662F"/>
    <w:rsid w:val="6B1154ED"/>
    <w:rsid w:val="6BF863D7"/>
    <w:rsid w:val="6C2D3714"/>
    <w:rsid w:val="6C9500C9"/>
    <w:rsid w:val="6D0E5DBA"/>
    <w:rsid w:val="6ED44D92"/>
    <w:rsid w:val="6F196B11"/>
    <w:rsid w:val="6FA3193D"/>
    <w:rsid w:val="70372E6D"/>
    <w:rsid w:val="70A26911"/>
    <w:rsid w:val="720A6E64"/>
    <w:rsid w:val="72D6433D"/>
    <w:rsid w:val="72FA6ED8"/>
    <w:rsid w:val="73243F55"/>
    <w:rsid w:val="73A35B4C"/>
    <w:rsid w:val="7452064E"/>
    <w:rsid w:val="75C84FE1"/>
    <w:rsid w:val="75F145C2"/>
    <w:rsid w:val="76191423"/>
    <w:rsid w:val="764D5571"/>
    <w:rsid w:val="775F34D3"/>
    <w:rsid w:val="7806239F"/>
    <w:rsid w:val="78FB7506"/>
    <w:rsid w:val="7AD61FD9"/>
    <w:rsid w:val="7B464D76"/>
    <w:rsid w:val="7BD77DB7"/>
    <w:rsid w:val="7C0350FC"/>
    <w:rsid w:val="7C5973AA"/>
    <w:rsid w:val="7D2012E9"/>
    <w:rsid w:val="7E6A7FC4"/>
    <w:rsid w:val="7E7062A0"/>
    <w:rsid w:val="7E7C7543"/>
    <w:rsid w:val="7E8B41A6"/>
    <w:rsid w:val="7ED12997"/>
    <w:rsid w:val="7ED45DF5"/>
    <w:rsid w:val="7F5309E4"/>
    <w:rsid w:val="7FDC7E1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line="240" w:lineRule="auto"/>
      <w:ind w:left="0" w:leftChars="0" w:firstLine="0" w:firstLineChars="0"/>
      <w:jc w:val="left"/>
    </w:pPr>
    <w:rPr>
      <w:rFonts w:ascii="Times New Roman" w:hAnsi="Times New Roman" w:eastAsia="宋体" w:cs="Times New Roman"/>
      <w:kern w:val="0"/>
      <w:sz w:val="24"/>
      <w:szCs w:val="24"/>
      <w:lang w:val="en-US" w:eastAsia="zh-CN" w:bidi="ar-SA"/>
    </w:rPr>
  </w:style>
  <w:style w:type="paragraph" w:styleId="4">
    <w:name w:val="heading 2"/>
    <w:basedOn w:val="1"/>
    <w:next w:val="1"/>
    <w:semiHidden/>
    <w:unhideWhenUsed/>
    <w:qFormat/>
    <w:uiPriority w:val="9"/>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ind w:left="420" w:leftChars="200"/>
    </w:pPr>
    <w:rPr>
      <w:rFonts w:ascii="Calibri" w:hAnsi="Calibri" w:eastAsia="宋体" w:cs="Times New Roman"/>
      <w:sz w:val="21"/>
    </w:rPr>
  </w:style>
  <w:style w:type="paragraph" w:styleId="5">
    <w:name w:val="annotation text"/>
    <w:basedOn w:val="1"/>
    <w:link w:val="19"/>
    <w:semiHidden/>
    <w:unhideWhenUsed/>
    <w:qFormat/>
    <w:uiPriority w:val="99"/>
  </w:style>
  <w:style w:type="paragraph" w:styleId="6">
    <w:name w:val="Body Text"/>
    <w:basedOn w:val="1"/>
    <w:next w:val="1"/>
    <w:qFormat/>
    <w:uiPriority w:val="0"/>
    <w:pPr>
      <w:widowControl/>
      <w:jc w:val="left"/>
    </w:pPr>
    <w:rPr>
      <w:rFonts w:ascii="Tahoma"/>
      <w:sz w:val="24"/>
      <w:szCs w:val="20"/>
    </w:rPr>
  </w:style>
  <w:style w:type="paragraph" w:styleId="7">
    <w:name w:val="Balloon Text"/>
    <w:basedOn w:val="1"/>
    <w:link w:val="21"/>
    <w:semiHidden/>
    <w:unhideWhenUsed/>
    <w:qFormat/>
    <w:uiPriority w:val="99"/>
    <w:rPr>
      <w:sz w:val="18"/>
      <w:szCs w:val="18"/>
    </w:rPr>
  </w:style>
  <w:style w:type="paragraph" w:styleId="8">
    <w:name w:val="footer"/>
    <w:basedOn w:val="1"/>
    <w:link w:val="18"/>
    <w:semiHidden/>
    <w:unhideWhenUsed/>
    <w:qFormat/>
    <w:uiPriority w:val="99"/>
    <w:pPr>
      <w:tabs>
        <w:tab w:val="center" w:pos="4153"/>
        <w:tab w:val="right" w:pos="8306"/>
      </w:tabs>
      <w:snapToGrid w:val="0"/>
    </w:pPr>
    <w:rPr>
      <w:sz w:val="18"/>
      <w:szCs w:val="18"/>
    </w:rPr>
  </w:style>
  <w:style w:type="paragraph" w:styleId="9">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annotation subject"/>
    <w:basedOn w:val="5"/>
    <w:next w:val="5"/>
    <w:link w:val="20"/>
    <w:semiHidden/>
    <w:unhideWhenUsed/>
    <w:qFormat/>
    <w:uiPriority w:val="99"/>
    <w:rPr>
      <w:b/>
      <w:bCs/>
    </w:rPr>
  </w:style>
  <w:style w:type="character" w:styleId="13">
    <w:name w:val="Strong"/>
    <w:basedOn w:val="12"/>
    <w:qFormat/>
    <w:uiPriority w:val="0"/>
    <w:rPr>
      <w:b/>
      <w:bCs/>
    </w:rPr>
  </w:style>
  <w:style w:type="character" w:styleId="14">
    <w:name w:val="Hyperlink"/>
    <w:basedOn w:val="12"/>
    <w:semiHidden/>
    <w:unhideWhenUsed/>
    <w:qFormat/>
    <w:uiPriority w:val="99"/>
    <w:rPr>
      <w:color w:val="0000FF"/>
      <w:u w:val="single"/>
    </w:rPr>
  </w:style>
  <w:style w:type="character" w:styleId="15">
    <w:name w:val="annotation reference"/>
    <w:basedOn w:val="12"/>
    <w:semiHidden/>
    <w:unhideWhenUsed/>
    <w:qFormat/>
    <w:uiPriority w:val="99"/>
    <w:rPr>
      <w:sz w:val="21"/>
      <w:szCs w:val="21"/>
    </w:rPr>
  </w:style>
  <w:style w:type="character" w:customStyle="1" w:styleId="16">
    <w:name w:val="help11"/>
    <w:basedOn w:val="12"/>
    <w:qFormat/>
    <w:uiPriority w:val="0"/>
    <w:rPr>
      <w:rFonts w:hint="default" w:ascii="Arial" w:hAnsi="Arial" w:cs="Arial"/>
      <w:b/>
      <w:bCs/>
      <w:sz w:val="21"/>
      <w:szCs w:val="21"/>
      <w:u w:val="none"/>
    </w:rPr>
  </w:style>
  <w:style w:type="character" w:customStyle="1" w:styleId="17">
    <w:name w:val="页眉 字符"/>
    <w:basedOn w:val="12"/>
    <w:link w:val="9"/>
    <w:semiHidden/>
    <w:qFormat/>
    <w:uiPriority w:val="99"/>
    <w:rPr>
      <w:rFonts w:ascii="Times New Roman" w:hAnsi="Times New Roman" w:eastAsia="宋体" w:cs="Times New Roman"/>
      <w:kern w:val="0"/>
      <w:sz w:val="18"/>
      <w:szCs w:val="18"/>
    </w:rPr>
  </w:style>
  <w:style w:type="character" w:customStyle="1" w:styleId="18">
    <w:name w:val="页脚 字符"/>
    <w:basedOn w:val="12"/>
    <w:link w:val="8"/>
    <w:semiHidden/>
    <w:qFormat/>
    <w:uiPriority w:val="99"/>
    <w:rPr>
      <w:rFonts w:ascii="Times New Roman" w:hAnsi="Times New Roman" w:eastAsia="宋体" w:cs="Times New Roman"/>
      <w:kern w:val="0"/>
      <w:sz w:val="18"/>
      <w:szCs w:val="18"/>
    </w:rPr>
  </w:style>
  <w:style w:type="character" w:customStyle="1" w:styleId="19">
    <w:name w:val="批注文字 字符"/>
    <w:basedOn w:val="12"/>
    <w:link w:val="5"/>
    <w:semiHidden/>
    <w:qFormat/>
    <w:uiPriority w:val="99"/>
    <w:rPr>
      <w:rFonts w:ascii="Times New Roman" w:hAnsi="Times New Roman" w:eastAsia="宋体" w:cs="Times New Roman"/>
      <w:kern w:val="0"/>
      <w:sz w:val="24"/>
      <w:szCs w:val="24"/>
    </w:rPr>
  </w:style>
  <w:style w:type="character" w:customStyle="1" w:styleId="20">
    <w:name w:val="批注主题 字符"/>
    <w:basedOn w:val="19"/>
    <w:link w:val="10"/>
    <w:semiHidden/>
    <w:qFormat/>
    <w:uiPriority w:val="99"/>
    <w:rPr>
      <w:rFonts w:ascii="Times New Roman" w:hAnsi="Times New Roman" w:eastAsia="宋体" w:cs="Times New Roman"/>
      <w:b/>
      <w:bCs/>
      <w:kern w:val="0"/>
      <w:sz w:val="24"/>
      <w:szCs w:val="24"/>
    </w:rPr>
  </w:style>
  <w:style w:type="character" w:customStyle="1" w:styleId="21">
    <w:name w:val="批注框文本 字符"/>
    <w:basedOn w:val="12"/>
    <w:link w:val="7"/>
    <w:semiHidden/>
    <w:qFormat/>
    <w:uiPriority w:val="99"/>
    <w:rPr>
      <w:rFonts w:ascii="Times New Roman" w:hAnsi="Times New Roman" w:eastAsia="宋体" w:cs="Times New Roman"/>
      <w:kern w:val="0"/>
      <w:sz w:val="18"/>
      <w:szCs w:val="18"/>
    </w:rPr>
  </w:style>
  <w:style w:type="paragraph" w:customStyle="1" w:styleId="22">
    <w:name w:val="Revision"/>
    <w:hidden/>
    <w:semiHidden/>
    <w:qFormat/>
    <w:uiPriority w:val="99"/>
    <w:pPr>
      <w:spacing w:line="240" w:lineRule="auto"/>
      <w:ind w:left="0" w:leftChars="0" w:firstLine="0" w:firstLineChars="0"/>
      <w:jc w:val="left"/>
    </w:pPr>
    <w:rPr>
      <w:rFonts w:ascii="Times New Roman" w:hAnsi="Times New Roman" w:eastAsia="宋体" w:cs="Times New Roman"/>
      <w:kern w:val="0"/>
      <w:sz w:val="24"/>
      <w:szCs w:val="24"/>
      <w:lang w:val="en-US" w:eastAsia="zh-CN" w:bidi="ar-SA"/>
    </w:rPr>
  </w:style>
  <w:style w:type="paragraph" w:customStyle="1" w:styleId="23">
    <w:name w:val="表格文字"/>
    <w:basedOn w:val="1"/>
    <w:next w:val="6"/>
    <w:qFormat/>
    <w:uiPriority w:val="99"/>
    <w:pPr>
      <w:jc w:val="left"/>
    </w:pPr>
    <w:rPr>
      <w:rFonts w:ascii="宋体" w:hAnsi="宋体"/>
      <w:bCs/>
      <w:spacing w:val="-4"/>
      <w:kern w:val="0"/>
      <w:sz w:val="32"/>
      <w:szCs w:val="32"/>
      <w:lang w:val="zh-CN"/>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8D741C9-9AA7-42B1-AA0B-62D1760C3DDA}">
  <ds:schemaRefs/>
</ds:datastoreItem>
</file>

<file path=docProps/app.xml><?xml version="1.0" encoding="utf-8"?>
<Properties xmlns="http://schemas.openxmlformats.org/officeDocument/2006/extended-properties" xmlns:vt="http://schemas.openxmlformats.org/officeDocument/2006/docPropsVTypes">
  <Template>Normal</Template>
  <Pages>4</Pages>
  <Words>1472</Words>
  <Characters>1583</Characters>
  <Lines>12</Lines>
  <Paragraphs>3</Paragraphs>
  <TotalTime>0</TotalTime>
  <ScaleCrop>false</ScaleCrop>
  <LinksUpToDate>false</LinksUpToDate>
  <CharactersWithSpaces>1677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2017-03-01T05:21:00Z</dcterms:created>
  <dc:creator>dell</dc:creator>
  <cp:lastModifiedBy>陈墨</cp:lastModifiedBy>
  <cp:lastPrinted>2022-05-23T09:08:00Z</cp:lastPrinted>
  <dcterms:modified xsi:type="dcterms:W3CDTF">2025-10-22T00:35:27Z</dcterms:modified>
  <cp:revision>424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4352B3E27A9144ECA756F671469E5E18_13</vt:lpwstr>
  </property>
  <property fmtid="{D5CDD505-2E9C-101B-9397-08002B2CF9AE}" pid="4" name="KSOTemplateDocerSaveRecord">
    <vt:lpwstr>eyJoZGlkIjoiNzRjOWQ5MzU4Mzc1ZjAyZjE1ZWY3N2E3NWI2MmVlZmEiLCJ1c2VySWQiOiIzODgwNTgxODUifQ==</vt:lpwstr>
  </property>
</Properties>
</file>