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346E1C">
      <w:pPr>
        <w:jc w:val="both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 w14:paraId="2D36E6A3">
      <w:pPr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外包作业人员职业健康安全告知书</w:t>
      </w:r>
    </w:p>
    <w:p w14:paraId="13582F05">
      <w:pPr>
        <w:jc w:val="both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6CC39A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我公司将健康、安全和环保置于生产经营活动的最优先地位，关心每一个人的健康和安全。安全业绩、服务质量、合理的价格是我公司用来评估外包作业承包单位表现的关键指标。外包作业承包单位必须遵循的健康、安全和环保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</w:rPr>
        <w:t>规定，并负责对所属员工进行岗前安全培训。任何违反规定的外包作业人员由外包作业承包单位对其处罚。</w:t>
      </w:r>
    </w:p>
    <w:p w14:paraId="1D4B37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一、基本要求</w:t>
      </w:r>
    </w:p>
    <w:p w14:paraId="1F767A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1.外包作业人员应遵守国家、省市和本地区的法律法规尤其是安全管理规定。</w:t>
      </w:r>
    </w:p>
    <w:p w14:paraId="233F69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2.全库区除吸烟室（区）外禁止吸烟。</w:t>
      </w:r>
    </w:p>
    <w:p w14:paraId="78A445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3.作业期间禁止携带或饮用含酒精饮料。</w:t>
      </w:r>
    </w:p>
    <w:p w14:paraId="3EBC71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4.库区机动车辆限速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公里/小时，作业区限速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公里/小时。</w:t>
      </w:r>
    </w:p>
    <w:p w14:paraId="4B06A9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二、人员进出</w:t>
      </w:r>
    </w:p>
    <w:p w14:paraId="0B1AB7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1.外包作业人员出入库区必须到警卫室登记。</w:t>
      </w:r>
    </w:p>
    <w:p w14:paraId="2140A4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2.保安人员有权检查所有出入库区车辆及设备，尤其是封闭式的车辆、箱式货车和工具箱等。</w:t>
      </w:r>
    </w:p>
    <w:p w14:paraId="363F41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3.未经许可，不得进入与合同书所标明工作无关的区域。</w:t>
      </w:r>
    </w:p>
    <w:p w14:paraId="70F6AD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三、个人防护</w:t>
      </w:r>
    </w:p>
    <w:p w14:paraId="25F944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1.进入库区必须正确佩戴安全帽等个人防护设备，其他防护设备如口罩、手套等根据工作情况选择使用。</w:t>
      </w:r>
    </w:p>
    <w:p w14:paraId="38732C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2.作业时禁止穿拖鞋、凉鞋、露脚趾鞋或光脚。</w:t>
      </w:r>
    </w:p>
    <w:p w14:paraId="0DE552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四、现场管理</w:t>
      </w:r>
    </w:p>
    <w:p w14:paraId="5FD7F6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1.作业时，作业现场必须保持干净、整洁。</w:t>
      </w:r>
    </w:p>
    <w:p w14:paraId="09BB16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2.若作业人员未能及时清除垃圾，我公司负责清扫，费用将由外包作业承包单位支付。</w:t>
      </w:r>
    </w:p>
    <w:p w14:paraId="342B97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3.借用我公司工具设备的，需经我公司同意，任何损坏或丢失由外包作业承包单位全额赔偿。</w:t>
      </w:r>
    </w:p>
    <w:p w14:paraId="2CAE0E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4.除修理之外，不得将保护装置或其它装置从工具或设备上移走，在结束修理之前必须将装置复原。</w:t>
      </w:r>
    </w:p>
    <w:p w14:paraId="396D98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5.灭火器、消防水栓等不得用于除防火、灭火以外的任何用途。</w:t>
      </w:r>
    </w:p>
    <w:p w14:paraId="72930B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6.不得堵塞或强行敞开防火通道门。电线、线缆或软管等穿过路面的，需要设置橡胶线槽板等保护措施。</w:t>
      </w:r>
    </w:p>
    <w:p w14:paraId="0971D2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五、事故与伤亡报告</w:t>
      </w:r>
    </w:p>
    <w:p w14:paraId="25660A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所有的意外事故（偶发事件、财产损失等）发生后应立即向我公司报告，我公司保留进行单独调查的权利。</w:t>
      </w:r>
    </w:p>
    <w:p w14:paraId="537D68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六、作业许可</w:t>
      </w:r>
    </w:p>
    <w:p w14:paraId="231145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1.开展动火、高处、有限空间、临时用电等特殊作业时，必须经我公司作业审批后，方可作业。</w:t>
      </w:r>
    </w:p>
    <w:p w14:paraId="71810B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2.作业审批在限定时间内有效，并随时接受检查。</w:t>
      </w:r>
    </w:p>
    <w:p w14:paraId="051672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3.除非工作需要临时移动，作业区域必须设置明显警戒线、警示牌。</w:t>
      </w:r>
    </w:p>
    <w:p w14:paraId="63FCA7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4.特种作业人员应具备相应有效证书，操作时应配备必要的个人防护用具。</w:t>
      </w:r>
    </w:p>
    <w:p w14:paraId="1390DA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5.作业期间发生任何疑问，均应立即停工并向外包作业承包单位或我公司报告。</w:t>
      </w:r>
    </w:p>
    <w:p w14:paraId="78E9D4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黑体" w:eastAsia="仿宋_GB2312"/>
          <w:color w:val="auto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外来作业人员的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安全承诺：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</w:rPr>
        <w:t>我完全知晓并将严格遵守上述《外来作业人员职业健康安全告知书》中各项规定和要求。</w:t>
      </w:r>
    </w:p>
    <w:p w14:paraId="211D2E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1280" w:firstLine="4800" w:firstLineChars="1500"/>
        <w:textAlignment w:val="auto"/>
        <w:rPr>
          <w:rFonts w:hint="eastAsia" w:ascii="仿宋_GB2312" w:hAnsi="黑体" w:eastAsia="仿宋_GB2312"/>
          <w:sz w:val="32"/>
          <w:szCs w:val="32"/>
        </w:rPr>
      </w:pPr>
    </w:p>
    <w:p w14:paraId="33D4F50E">
      <w:pPr>
        <w:ind w:right="1280" w:firstLine="4800" w:firstLineChars="1500"/>
        <w:rPr>
          <w:rFonts w:hint="eastAsia" w:ascii="仿宋_GB2312" w:hAnsi="黑体" w:eastAsia="仿宋_GB2312"/>
          <w:sz w:val="32"/>
          <w:szCs w:val="32"/>
        </w:rPr>
      </w:pPr>
    </w:p>
    <w:p w14:paraId="3A920577">
      <w:pPr>
        <w:ind w:right="1280"/>
        <w:rPr>
          <w:rFonts w:hint="eastAsia" w:ascii="仿宋_GB2312" w:hAnsi="黑体" w:eastAsia="仿宋_GB2312"/>
          <w:sz w:val="32"/>
          <w:szCs w:val="32"/>
        </w:rPr>
      </w:pPr>
      <w:r>
        <w:rPr>
          <w:rFonts w:ascii="仿宋_GB2312" w:hAnsi="黑体" w:eastAsia="仿宋_GB2312"/>
          <w:sz w:val="32"/>
          <w:szCs w:val="32"/>
        </w:rPr>
        <w:tab/>
      </w:r>
      <w:r>
        <w:rPr>
          <w:rFonts w:hint="eastAsia" w:ascii="仿宋_GB2312" w:hAnsi="黑体" w:eastAsia="仿宋_GB2312"/>
          <w:sz w:val="32"/>
          <w:szCs w:val="32"/>
        </w:rPr>
        <w:t xml:space="preserve">签名： </w:t>
      </w:r>
      <w:r>
        <w:rPr>
          <w:rFonts w:ascii="仿宋_GB2312" w:hAnsi="黑体" w:eastAsia="仿宋_GB2312"/>
          <w:sz w:val="32"/>
          <w:szCs w:val="32"/>
        </w:rPr>
        <w:tab/>
      </w:r>
      <w:r>
        <w:rPr>
          <w:rFonts w:ascii="仿宋_GB2312" w:hAnsi="黑体" w:eastAsia="仿宋_GB2312"/>
          <w:sz w:val="32"/>
          <w:szCs w:val="32"/>
        </w:rPr>
        <w:tab/>
      </w:r>
      <w:r>
        <w:rPr>
          <w:rFonts w:ascii="仿宋_GB2312" w:hAnsi="黑体" w:eastAsia="仿宋_GB2312"/>
          <w:sz w:val="32"/>
          <w:szCs w:val="32"/>
        </w:rPr>
        <w:tab/>
      </w:r>
      <w:r>
        <w:rPr>
          <w:rFonts w:ascii="仿宋_GB2312" w:hAnsi="黑体" w:eastAsia="仿宋_GB2312"/>
          <w:sz w:val="32"/>
          <w:szCs w:val="32"/>
        </w:rPr>
        <w:tab/>
      </w:r>
      <w:r>
        <w:rPr>
          <w:rFonts w:ascii="仿宋_GB2312" w:hAnsi="黑体" w:eastAsia="仿宋_GB2312"/>
          <w:sz w:val="32"/>
          <w:szCs w:val="32"/>
        </w:rPr>
        <w:tab/>
      </w:r>
      <w:r>
        <w:rPr>
          <w:rFonts w:ascii="仿宋_GB2312" w:hAnsi="黑体" w:eastAsia="仿宋_GB2312"/>
          <w:sz w:val="32"/>
          <w:szCs w:val="32"/>
        </w:rPr>
        <w:tab/>
      </w:r>
      <w:r>
        <w:rPr>
          <w:rFonts w:ascii="仿宋_GB2312" w:hAnsi="黑体" w:eastAsia="仿宋_GB2312"/>
          <w:sz w:val="32"/>
          <w:szCs w:val="32"/>
        </w:rPr>
        <w:tab/>
      </w:r>
      <w:r>
        <w:rPr>
          <w:rFonts w:hint="eastAsia" w:ascii="仿宋_GB2312" w:hAnsi="黑体" w:eastAsia="仿宋_GB2312"/>
          <w:sz w:val="32"/>
          <w:szCs w:val="32"/>
        </w:rPr>
        <w:t>公司：</w:t>
      </w:r>
    </w:p>
    <w:p w14:paraId="777B902C">
      <w:pPr>
        <w:pStyle w:val="2"/>
        <w:rPr>
          <w:rFonts w:hint="eastAsia"/>
        </w:rPr>
      </w:pPr>
    </w:p>
    <w:p w14:paraId="63F75B3D">
      <w:pPr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ascii="仿宋_GB2312" w:hAnsi="黑体" w:eastAsia="仿宋_GB2312"/>
          <w:sz w:val="32"/>
          <w:szCs w:val="32"/>
        </w:rPr>
        <w:tab/>
      </w:r>
      <w:r>
        <w:rPr>
          <w:rFonts w:hint="eastAsia" w:ascii="仿宋_GB2312" w:hAnsi="黑体" w:eastAsia="仿宋_GB2312"/>
          <w:sz w:val="32"/>
          <w:szCs w:val="32"/>
        </w:rPr>
        <w:t xml:space="preserve">日期：      </w:t>
      </w:r>
      <w:r>
        <w:rPr>
          <w:rFonts w:ascii="仿宋_GB2312" w:hAnsi="黑体" w:eastAsia="仿宋_GB2312"/>
          <w:sz w:val="32"/>
          <w:szCs w:val="32"/>
        </w:rPr>
        <w:tab/>
      </w:r>
      <w:r>
        <w:rPr>
          <w:rFonts w:ascii="仿宋_GB2312" w:hAnsi="黑体" w:eastAsia="仿宋_GB2312"/>
          <w:sz w:val="32"/>
          <w:szCs w:val="32"/>
        </w:rPr>
        <w:tab/>
      </w:r>
      <w:r>
        <w:rPr>
          <w:rFonts w:ascii="仿宋_GB2312" w:hAnsi="黑体" w:eastAsia="仿宋_GB2312"/>
          <w:sz w:val="32"/>
          <w:szCs w:val="32"/>
        </w:rPr>
        <w:tab/>
      </w:r>
      <w:r>
        <w:rPr>
          <w:rFonts w:ascii="仿宋_GB2312" w:hAnsi="黑体" w:eastAsia="仿宋_GB2312"/>
          <w:sz w:val="32"/>
          <w:szCs w:val="32"/>
        </w:rPr>
        <w:tab/>
      </w:r>
      <w:r>
        <w:rPr>
          <w:rFonts w:ascii="仿宋_GB2312" w:hAnsi="黑体" w:eastAsia="仿宋_GB2312"/>
          <w:sz w:val="32"/>
          <w:szCs w:val="32"/>
        </w:rPr>
        <w:tab/>
      </w:r>
      <w:r>
        <w:rPr>
          <w:rFonts w:hint="eastAsia" w:ascii="仿宋_GB2312" w:hAnsi="黑体" w:eastAsia="仿宋_GB2312"/>
          <w:sz w:val="32"/>
          <w:szCs w:val="32"/>
        </w:rPr>
        <w:t xml:space="preserve">日期：     </w:t>
      </w:r>
    </w:p>
    <w:p w14:paraId="4FBC13AF"/>
    <w:sectPr>
      <w:footerReference r:id="rId3" w:type="default"/>
      <w:pgSz w:w="11906" w:h="16838"/>
      <w:pgMar w:top="2098" w:right="1474" w:bottom="1984" w:left="1587" w:header="851" w:footer="1531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0" w:num="1"/>
      <w:rtlGutter w:val="0"/>
      <w:docGrid w:type="linesAndChars" w:linePitch="590" w:charSpace="-20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C566C9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FBB53A4"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FBB53A4">
                    <w:pPr>
                      <w:pStyle w:val="3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8882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缩进1"/>
    <w:basedOn w:val="1"/>
    <w:qFormat/>
    <w:uiPriority w:val="0"/>
    <w:pPr>
      <w:ind w:firstLine="420"/>
    </w:pPr>
    <w:rPr>
      <w:rFonts w:ascii="Times New Roman" w:hAnsi="Times New Roman" w:cs="Times New Roman"/>
    </w:rPr>
  </w:style>
  <w:style w:type="paragraph" w:styleId="3">
    <w:name w:val="footer"/>
    <w:basedOn w:val="1"/>
    <w:semiHidden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944</Words>
  <Characters>964</Characters>
  <Lines>0</Lines>
  <Paragraphs>0</Paragraphs>
  <TotalTime>0</TotalTime>
  <ScaleCrop>false</ScaleCrop>
  <LinksUpToDate>false</LinksUpToDate>
  <CharactersWithSpaces>998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2025-02-11T01:37:07Z</dcterms:created>
  <dc:creator>Administrator</dc:creator>
  <cp:lastModifiedBy>Yc。</cp:lastModifiedBy>
  <dcterms:modified xsi:type="dcterms:W3CDTF">2025-02-11T01:37:44Z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eyJoZGlkIjoiZjRlMzMzN2U3NGYzMzQ2YjFmOGY3NWFhMzUyYjBkODMiLCJ1c2VySWQiOiI0MDYxNDg5MTUifQ==</vt:lpwstr>
  </property>
  <property fmtid="{D5CDD505-2E9C-101B-9397-08002B2CF9AE}" pid="4" name="ICV">
    <vt:lpwstr>45EE30C0C17F4D60AF77241FA9A98BD8_12</vt:lpwstr>
  </property>
</Properties>
</file>