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4785FE9">
      <w:pPr>
        <w:widowControl/>
        <w:spacing w:line="300" w:lineRule="atLeast"/>
        <w:ind w:firstLine="2615" w:firstLineChars="592"/>
        <w:rPr>
          <w:rFonts w:ascii="宋体" w:hAnsi="宋体" w:cs="宋体"/>
          <w:b/>
          <w:bCs/>
          <w:color w:val="000000"/>
          <w:kern w:val="0"/>
          <w:sz w:val="44"/>
          <w:szCs w:val="44"/>
        </w:rPr>
      </w:pPr>
      <w:r>
        <w:rPr>
          <w:rFonts w:hint="eastAsia" w:ascii="宋体" w:hAnsi="宋体" w:cs="宋体"/>
          <w:b/>
          <w:bCs/>
          <w:color w:val="000000"/>
          <w:kern w:val="0"/>
          <w:sz w:val="44"/>
          <w:szCs w:val="44"/>
        </w:rPr>
        <w:t>竞价销售合同</w:t>
      </w:r>
    </w:p>
    <w:p w14:paraId="230802B0">
      <w:pPr>
        <w:widowControl/>
        <w:spacing w:line="360" w:lineRule="exact"/>
        <w:jc w:val="center"/>
        <w:rPr>
          <w:rFonts w:ascii="宋体" w:hAnsi="宋体" w:cs="宋体"/>
          <w:b/>
          <w:bCs/>
          <w:color w:val="000000"/>
          <w:kern w:val="0"/>
          <w:sz w:val="44"/>
          <w:szCs w:val="44"/>
        </w:rPr>
      </w:pPr>
    </w:p>
    <w:p w14:paraId="0FB20925">
      <w:pPr>
        <w:widowControl/>
        <w:spacing w:line="360" w:lineRule="exact"/>
        <w:jc w:val="left"/>
        <w:rPr>
          <w:rFonts w:ascii="宋体" w:hAnsi="宋体" w:cs="宋体"/>
          <w:b/>
          <w:color w:val="000000"/>
          <w:kern w:val="0"/>
          <w:sz w:val="24"/>
        </w:rPr>
      </w:pPr>
      <w:r>
        <w:rPr>
          <w:rFonts w:hint="eastAsia" w:ascii="宋体" w:hAnsi="宋体" w:cs="宋体"/>
          <w:b/>
          <w:color w:val="000000"/>
          <w:kern w:val="0"/>
          <w:sz w:val="24"/>
        </w:rPr>
        <w:t>甲方：嵊州市地方储备粮管理有限公司           合同编号：销售       号</w:t>
      </w:r>
      <w:r>
        <w:rPr>
          <w:rFonts w:hint="eastAsia" w:ascii="宋体" w:hAnsi="宋体"/>
          <w:b/>
          <w:sz w:val="24"/>
        </w:rPr>
        <w:t>乙方：                                       签订地点：嵊州</w:t>
      </w:r>
      <w:r>
        <w:rPr>
          <w:rFonts w:hint="eastAsia" w:ascii="宋体" w:hAnsi="宋体" w:cs="宋体"/>
          <w:b/>
          <w:color w:val="000000"/>
          <w:kern w:val="0"/>
          <w:sz w:val="24"/>
        </w:rPr>
        <w:t xml:space="preserve">                              签订时间： </w:t>
      </w:r>
    </w:p>
    <w:p w14:paraId="398C141E">
      <w:pPr>
        <w:widowControl/>
        <w:spacing w:line="360" w:lineRule="exact"/>
        <w:rPr>
          <w:rFonts w:ascii="宋体" w:hAnsi="宋体"/>
          <w:b/>
          <w:sz w:val="24"/>
        </w:rPr>
      </w:pPr>
    </w:p>
    <w:p w14:paraId="0500072A">
      <w:pPr>
        <w:spacing w:line="360" w:lineRule="exact"/>
        <w:ind w:firstLine="470" w:firstLineChars="195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</w:rPr>
        <w:t>甲方根据储备粮销售计划，经委托国家粮食浙江交易中心竞价销售，乙方参加投标并经中标确认（</w:t>
      </w:r>
      <w:r>
        <w:rPr>
          <w:rStyle w:val="6"/>
          <w:rFonts w:hint="eastAsia" w:ascii="宋体" w:hAnsi="宋体"/>
          <w:bCs w:val="0"/>
          <w:color w:val="000000"/>
          <w:sz w:val="24"/>
          <w:u w:val="single"/>
        </w:rPr>
        <w:t xml:space="preserve">嵊州市晚粳米销售 </w:t>
      </w:r>
      <w:r>
        <w:rPr>
          <w:rFonts w:hint="eastAsia" w:ascii="宋体" w:hAnsi="宋体"/>
          <w:b/>
          <w:sz w:val="24"/>
        </w:rPr>
        <w:t>），为明确双方职责，特订立以下粮油购销合同：</w:t>
      </w:r>
    </w:p>
    <w:p w14:paraId="51433CF0">
      <w:pPr>
        <w:spacing w:line="360" w:lineRule="exact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</w:rPr>
        <w:t>第一条   粮油品种、产地、生产年份、数量、价款</w:t>
      </w:r>
    </w:p>
    <w:tbl>
      <w:tblPr>
        <w:tblStyle w:val="4"/>
        <w:tblW w:w="967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8"/>
        <w:gridCol w:w="1165"/>
        <w:gridCol w:w="966"/>
        <w:gridCol w:w="888"/>
        <w:gridCol w:w="888"/>
        <w:gridCol w:w="710"/>
        <w:gridCol w:w="1321"/>
        <w:gridCol w:w="1343"/>
        <w:gridCol w:w="1563"/>
      </w:tblGrid>
      <w:tr w14:paraId="3A8198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8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6E459B">
            <w:pPr>
              <w:spacing w:line="360" w:lineRule="exact"/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标的号</w:t>
            </w:r>
          </w:p>
        </w:tc>
        <w:tc>
          <w:tcPr>
            <w:tcW w:w="11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E6174F">
            <w:pPr>
              <w:spacing w:line="360" w:lineRule="exact"/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储粮地点</w:t>
            </w:r>
          </w:p>
        </w:tc>
        <w:tc>
          <w:tcPr>
            <w:tcW w:w="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49D339">
            <w:pPr>
              <w:spacing w:line="360" w:lineRule="exact"/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品种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C4894F">
            <w:pPr>
              <w:spacing w:line="360" w:lineRule="exact"/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储存方式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EA249C">
            <w:pPr>
              <w:spacing w:line="360" w:lineRule="exact"/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产地</w:t>
            </w:r>
          </w:p>
        </w:tc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FDEF0A">
            <w:pPr>
              <w:spacing w:line="360" w:lineRule="exact"/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生产 年份</w:t>
            </w: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872409">
            <w:pPr>
              <w:spacing w:line="360" w:lineRule="exact"/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数量（吨）</w:t>
            </w:r>
          </w:p>
        </w:tc>
        <w:tc>
          <w:tcPr>
            <w:tcW w:w="1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E8F2BE">
            <w:pPr>
              <w:spacing w:line="360" w:lineRule="exact"/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成交单价</w:t>
            </w:r>
          </w:p>
          <w:p w14:paraId="59147BC1">
            <w:pPr>
              <w:spacing w:line="360" w:lineRule="exact"/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（元/吨）</w:t>
            </w:r>
          </w:p>
        </w:tc>
        <w:tc>
          <w:tcPr>
            <w:tcW w:w="1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D83F54">
            <w:pPr>
              <w:spacing w:line="360" w:lineRule="exact"/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金额（元）</w:t>
            </w:r>
          </w:p>
        </w:tc>
      </w:tr>
      <w:tr w14:paraId="6CACD4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  <w:jc w:val="center"/>
        </w:trPr>
        <w:tc>
          <w:tcPr>
            <w:tcW w:w="8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47577F">
            <w:pPr>
              <w:spacing w:line="360" w:lineRule="exact"/>
              <w:jc w:val="center"/>
              <w:rPr>
                <w:rFonts w:ascii="宋体" w:hAnsi="宋体"/>
                <w:b/>
                <w:color w:val="000000"/>
                <w:sz w:val="24"/>
              </w:rPr>
            </w:pPr>
          </w:p>
          <w:p w14:paraId="60F6F9F8">
            <w:pPr>
              <w:spacing w:line="360" w:lineRule="exact"/>
              <w:jc w:val="center"/>
              <w:rPr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1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312DF4">
            <w:pPr>
              <w:spacing w:line="360" w:lineRule="exact"/>
              <w:jc w:val="center"/>
              <w:rPr>
                <w:rFonts w:ascii="宋体" w:hAnsi="宋体" w:cs="宋体"/>
                <w:b/>
                <w:color w:val="000000"/>
                <w:kern w:val="0"/>
                <w:sz w:val="24"/>
              </w:rPr>
            </w:pPr>
          </w:p>
        </w:tc>
        <w:tc>
          <w:tcPr>
            <w:tcW w:w="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B4118F">
            <w:pPr>
              <w:spacing w:line="360" w:lineRule="exact"/>
              <w:jc w:val="center"/>
              <w:rPr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7BD2DE">
            <w:pPr>
              <w:spacing w:line="360" w:lineRule="exact"/>
              <w:jc w:val="center"/>
              <w:rPr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38886D">
            <w:pPr>
              <w:spacing w:line="360" w:lineRule="exact"/>
              <w:jc w:val="center"/>
              <w:rPr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7E2BFD">
            <w:pPr>
              <w:spacing w:line="360" w:lineRule="exact"/>
              <w:jc w:val="center"/>
              <w:rPr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272C78">
            <w:pPr>
              <w:spacing w:line="360" w:lineRule="exact"/>
              <w:jc w:val="center"/>
              <w:rPr>
                <w:rFonts w:ascii="宋体" w:hAnsi="宋体" w:cs="宋体"/>
                <w:b/>
                <w:color w:val="000000"/>
                <w:kern w:val="0"/>
                <w:sz w:val="24"/>
              </w:rPr>
            </w:pPr>
          </w:p>
        </w:tc>
        <w:tc>
          <w:tcPr>
            <w:tcW w:w="1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17D272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b/>
                <w:color w:val="000000"/>
                <w:kern w:val="0"/>
                <w:sz w:val="24"/>
              </w:rPr>
            </w:pPr>
          </w:p>
        </w:tc>
        <w:tc>
          <w:tcPr>
            <w:tcW w:w="1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5C5CA2">
            <w:pPr>
              <w:autoSpaceDE w:val="0"/>
              <w:autoSpaceDN w:val="0"/>
              <w:adjustRightInd w:val="0"/>
              <w:jc w:val="center"/>
              <w:rPr>
                <w:rFonts w:ascii="宋体" w:hAnsi="Cambria" w:cs="宋体"/>
                <w:b/>
                <w:color w:val="000000"/>
                <w:kern w:val="0"/>
                <w:sz w:val="24"/>
              </w:rPr>
            </w:pPr>
          </w:p>
        </w:tc>
      </w:tr>
      <w:tr w14:paraId="3E20CC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  <w:jc w:val="center"/>
        </w:trPr>
        <w:tc>
          <w:tcPr>
            <w:tcW w:w="8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2E678A">
            <w:pPr>
              <w:spacing w:line="360" w:lineRule="exact"/>
              <w:jc w:val="center"/>
              <w:rPr>
                <w:rFonts w:ascii="宋体" w:hAnsi="宋体"/>
                <w:b/>
                <w:color w:val="000000"/>
                <w:sz w:val="24"/>
              </w:rPr>
            </w:pPr>
            <w:r>
              <w:rPr>
                <w:rFonts w:hint="eastAsia" w:ascii="宋体" w:hAnsi="宋体"/>
                <w:b/>
                <w:color w:val="000000"/>
                <w:sz w:val="24"/>
              </w:rPr>
              <w:t>总计</w:t>
            </w:r>
          </w:p>
        </w:tc>
        <w:tc>
          <w:tcPr>
            <w:tcW w:w="11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125F81">
            <w:pPr>
              <w:spacing w:line="360" w:lineRule="exact"/>
              <w:jc w:val="center"/>
              <w:rPr>
                <w:rFonts w:ascii="宋体" w:hAnsi="宋体" w:cs="宋体"/>
                <w:b/>
                <w:color w:val="000000"/>
                <w:kern w:val="0"/>
                <w:sz w:val="24"/>
              </w:rPr>
            </w:pPr>
          </w:p>
        </w:tc>
        <w:tc>
          <w:tcPr>
            <w:tcW w:w="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38AC02">
            <w:pPr>
              <w:spacing w:line="360" w:lineRule="exact"/>
              <w:jc w:val="center"/>
              <w:rPr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F9BE0C">
            <w:pPr>
              <w:spacing w:line="360" w:lineRule="exact"/>
              <w:jc w:val="center"/>
              <w:rPr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6BA4AF">
            <w:pPr>
              <w:spacing w:line="360" w:lineRule="exact"/>
              <w:jc w:val="center"/>
              <w:rPr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577EDC">
            <w:pPr>
              <w:spacing w:line="360" w:lineRule="exact"/>
              <w:jc w:val="center"/>
              <w:rPr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BDA0F0">
            <w:pPr>
              <w:spacing w:line="360" w:lineRule="exact"/>
              <w:jc w:val="center"/>
              <w:rPr>
                <w:rFonts w:ascii="宋体" w:hAnsi="宋体" w:cs="宋体"/>
                <w:b/>
                <w:color w:val="000000"/>
                <w:kern w:val="0"/>
                <w:sz w:val="24"/>
              </w:rPr>
            </w:pPr>
          </w:p>
        </w:tc>
        <w:tc>
          <w:tcPr>
            <w:tcW w:w="1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C452C1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b/>
                <w:color w:val="000000"/>
                <w:kern w:val="0"/>
                <w:sz w:val="24"/>
              </w:rPr>
            </w:pPr>
          </w:p>
        </w:tc>
        <w:tc>
          <w:tcPr>
            <w:tcW w:w="1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1F8F94">
            <w:pPr>
              <w:autoSpaceDE w:val="0"/>
              <w:autoSpaceDN w:val="0"/>
              <w:adjustRightInd w:val="0"/>
              <w:jc w:val="center"/>
              <w:rPr>
                <w:rFonts w:ascii="宋体" w:hAnsi="Cambria" w:cs="宋体"/>
                <w:b/>
                <w:color w:val="000000"/>
                <w:kern w:val="0"/>
                <w:sz w:val="24"/>
              </w:rPr>
            </w:pPr>
          </w:p>
        </w:tc>
      </w:tr>
      <w:tr w14:paraId="13E478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3" w:hRule="atLeast"/>
          <w:jc w:val="center"/>
        </w:trPr>
        <w:tc>
          <w:tcPr>
            <w:tcW w:w="19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CB3705">
            <w:pPr>
              <w:spacing w:line="360" w:lineRule="exact"/>
              <w:jc w:val="center"/>
              <w:rPr>
                <w:rFonts w:ascii="宋体" w:hAnsi="宋体"/>
                <w:b/>
                <w:color w:val="000000"/>
                <w:sz w:val="24"/>
              </w:rPr>
            </w:pPr>
            <w:r>
              <w:rPr>
                <w:rFonts w:hint="eastAsia" w:ascii="宋体" w:hAnsi="宋体"/>
                <w:b/>
                <w:color w:val="000000"/>
                <w:sz w:val="24"/>
              </w:rPr>
              <w:t>货款金额（大写）</w:t>
            </w:r>
          </w:p>
        </w:tc>
        <w:tc>
          <w:tcPr>
            <w:tcW w:w="767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FDE9F1">
            <w:pPr>
              <w:spacing w:line="360" w:lineRule="exact"/>
              <w:ind w:firstLine="118" w:firstLineChars="49"/>
              <w:rPr>
                <w:rFonts w:ascii="宋体" w:hAnsi="宋体"/>
                <w:b/>
                <w:color w:val="000000"/>
                <w:sz w:val="24"/>
              </w:rPr>
            </w:pPr>
          </w:p>
        </w:tc>
      </w:tr>
    </w:tbl>
    <w:p w14:paraId="10640992">
      <w:pPr>
        <w:spacing w:line="360" w:lineRule="exact"/>
        <w:rPr>
          <w:rFonts w:ascii="宋体" w:hAnsi="宋体"/>
          <w:b/>
          <w:sz w:val="24"/>
        </w:rPr>
      </w:pPr>
    </w:p>
    <w:p w14:paraId="437E52FA">
      <w:pPr>
        <w:spacing w:line="360" w:lineRule="exact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</w:rPr>
        <w:t>第二条  商品质量：在参拍前乙方已到仓库核看确认该标的物实样，并认可该标的质量，接受该标的物之一切现状（包括缺陷、瑕疵），委托方提供的质量数据仅作参考，质量情况以仓库实样为准。</w:t>
      </w:r>
    </w:p>
    <w:p w14:paraId="4551F7E3">
      <w:pPr>
        <w:spacing w:line="360" w:lineRule="exact"/>
        <w:rPr>
          <w:rFonts w:ascii="宋体" w:hAnsi="宋体"/>
          <w:b/>
          <w:sz w:val="24"/>
        </w:rPr>
      </w:pPr>
    </w:p>
    <w:p w14:paraId="2D72E401">
      <w:pPr>
        <w:widowControl/>
        <w:spacing w:line="400" w:lineRule="exact"/>
        <w:jc w:val="left"/>
        <w:outlineLvl w:val="0"/>
        <w:rPr>
          <w:rFonts w:ascii="??" w:hAnsi="??"/>
          <w:b/>
          <w:color w:val="000000"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</w:rPr>
        <w:t>第三条  交货地点及费用负担：甲方标的物所在粮库车板交货，乙方提货需提前向甲方出具书面通知（包括传真件），以便协商安排装卸事宜。</w:t>
      </w:r>
    </w:p>
    <w:p w14:paraId="5938310F">
      <w:pPr>
        <w:spacing w:line="360" w:lineRule="exact"/>
        <w:rPr>
          <w:rFonts w:ascii="宋体" w:hAnsi="宋体"/>
          <w:b/>
          <w:sz w:val="24"/>
        </w:rPr>
      </w:pPr>
    </w:p>
    <w:p w14:paraId="3F54EF55">
      <w:pPr>
        <w:pStyle w:val="8"/>
        <w:spacing w:line="460" w:lineRule="exact"/>
        <w:rPr>
          <w:b/>
          <w:bCs/>
          <w:sz w:val="24"/>
        </w:rPr>
      </w:pPr>
      <w:r>
        <w:rPr>
          <w:rFonts w:hint="eastAsia" w:ascii="宋体" w:hAnsi="宋体"/>
          <w:b/>
          <w:sz w:val="24"/>
        </w:rPr>
        <w:t xml:space="preserve">第四条 </w:t>
      </w:r>
      <w:r>
        <w:rPr>
          <w:rFonts w:ascii="??" w:hAnsi="??" w:cs="宋体"/>
          <w:b/>
          <w:bCs/>
          <w:color w:val="000000"/>
          <w:kern w:val="0"/>
          <w:sz w:val="24"/>
        </w:rPr>
        <w:t>交货时间：</w:t>
      </w:r>
      <w:r>
        <w:rPr>
          <w:rFonts w:hint="eastAsia" w:ascii="??" w:hAnsi="??" w:cs="宋体"/>
          <w:b/>
          <w:bCs/>
          <w:color w:val="FF0000"/>
          <w:kern w:val="0"/>
          <w:sz w:val="24"/>
        </w:rPr>
        <w:t xml:space="preserve">  </w:t>
      </w:r>
      <w:r>
        <w:rPr>
          <w:rFonts w:ascii="??" w:hAnsi="??" w:cs="宋体"/>
          <w:b/>
          <w:bCs/>
          <w:color w:val="FF0000"/>
          <w:kern w:val="0"/>
          <w:sz w:val="24"/>
        </w:rPr>
        <w:t>年</w:t>
      </w:r>
      <w:r>
        <w:rPr>
          <w:rFonts w:hint="eastAsia" w:ascii="??" w:hAnsi="??" w:cs="宋体"/>
          <w:b/>
          <w:bCs/>
          <w:color w:val="FF0000"/>
          <w:kern w:val="0"/>
          <w:sz w:val="24"/>
        </w:rPr>
        <w:t xml:space="preserve">  </w:t>
      </w:r>
      <w:r>
        <w:rPr>
          <w:rFonts w:ascii="??" w:hAnsi="??" w:cs="宋体"/>
          <w:b/>
          <w:bCs/>
          <w:color w:val="FF0000"/>
          <w:kern w:val="0"/>
          <w:sz w:val="24"/>
        </w:rPr>
        <w:t>月</w:t>
      </w:r>
      <w:r>
        <w:rPr>
          <w:rFonts w:hint="eastAsia" w:ascii="??" w:hAnsi="??" w:cs="宋体"/>
          <w:b/>
          <w:bCs/>
          <w:color w:val="FF0000"/>
          <w:kern w:val="0"/>
          <w:sz w:val="24"/>
        </w:rPr>
        <w:t xml:space="preserve">  </w:t>
      </w:r>
      <w:r>
        <w:rPr>
          <w:rFonts w:ascii="??" w:hAnsi="??" w:cs="宋体"/>
          <w:b/>
          <w:bCs/>
          <w:color w:val="FF0000"/>
          <w:kern w:val="0"/>
          <w:sz w:val="24"/>
        </w:rPr>
        <w:t>日前提清</w:t>
      </w:r>
      <w:r>
        <w:rPr>
          <w:rFonts w:hint="eastAsia" w:ascii="??" w:hAnsi="??" w:cs="宋体"/>
          <w:b/>
          <w:bCs/>
          <w:color w:val="FF0000"/>
          <w:kern w:val="0"/>
          <w:sz w:val="24"/>
        </w:rPr>
        <w:t>，</w:t>
      </w:r>
      <w:r>
        <w:rPr>
          <w:rFonts w:hint="eastAsia"/>
          <w:b/>
          <w:bCs/>
          <w:sz w:val="24"/>
        </w:rPr>
        <w:t>不得逾期提货。</w:t>
      </w:r>
      <w:r>
        <w:rPr>
          <w:rFonts w:hint="eastAsia"/>
          <w:sz w:val="24"/>
        </w:rPr>
        <w:t>如遇特殊情况需延期提货，需向</w:t>
      </w:r>
      <w:r>
        <w:rPr>
          <w:rFonts w:ascii="??" w:hAnsi="??" w:cs="宋体"/>
          <w:color w:val="000000"/>
          <w:kern w:val="0"/>
          <w:sz w:val="24"/>
          <w:shd w:val="clear" w:color="auto" w:fill="FFFFFF"/>
        </w:rPr>
        <w:t>委托方（卖方）</w:t>
      </w:r>
      <w:r>
        <w:rPr>
          <w:rFonts w:hint="eastAsia" w:ascii="??" w:hAnsi="??" w:cs="宋体"/>
          <w:color w:val="000000"/>
          <w:kern w:val="0"/>
          <w:sz w:val="24"/>
          <w:shd w:val="clear" w:color="auto" w:fill="FFFFFF"/>
        </w:rPr>
        <w:t>提出申请</w:t>
      </w:r>
      <w:r>
        <w:rPr>
          <w:rFonts w:hint="eastAsia"/>
          <w:sz w:val="24"/>
        </w:rPr>
        <w:t>，经</w:t>
      </w:r>
      <w:r>
        <w:rPr>
          <w:rFonts w:ascii="??" w:hAnsi="??" w:cs="宋体"/>
          <w:color w:val="000000"/>
          <w:kern w:val="0"/>
          <w:sz w:val="24"/>
          <w:shd w:val="clear" w:color="auto" w:fill="FFFFFF"/>
        </w:rPr>
        <w:t>委托方</w:t>
      </w:r>
      <w:r>
        <w:rPr>
          <w:rFonts w:hint="eastAsia" w:ascii="??" w:hAnsi="??" w:cs="宋体"/>
          <w:color w:val="000000"/>
          <w:kern w:val="0"/>
          <w:sz w:val="24"/>
          <w:shd w:val="clear" w:color="auto" w:fill="FFFFFF"/>
        </w:rPr>
        <w:t>（</w:t>
      </w:r>
      <w:r>
        <w:rPr>
          <w:rFonts w:hint="eastAsia"/>
          <w:sz w:val="24"/>
        </w:rPr>
        <w:t>卖方）同意后适当延期并收取相应的延期保管费。</w:t>
      </w:r>
    </w:p>
    <w:p w14:paraId="2720C6E1">
      <w:pPr>
        <w:spacing w:line="360" w:lineRule="exact"/>
        <w:ind w:firstLine="482" w:firstLineChars="200"/>
        <w:rPr>
          <w:rFonts w:ascii="宋体" w:hAnsi="宋体"/>
          <w:b/>
          <w:sz w:val="24"/>
        </w:rPr>
      </w:pPr>
    </w:p>
    <w:p w14:paraId="7EF62522">
      <w:pPr>
        <w:spacing w:line="360" w:lineRule="exact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</w:rPr>
        <w:t>第五条 标的物所在甲方粮库车板交货</w:t>
      </w:r>
      <w:bookmarkStart w:id="0" w:name="_GoBack"/>
      <w:bookmarkEnd w:id="0"/>
      <w:r>
        <w:rPr>
          <w:rFonts w:hint="eastAsia" w:ascii="宋体" w:hAnsi="宋体"/>
          <w:b/>
          <w:sz w:val="24"/>
        </w:rPr>
        <w:t>，出库</w:t>
      </w:r>
      <w:r>
        <w:rPr>
          <w:rFonts w:ascii="宋体" w:hAnsi="宋体"/>
          <w:b/>
          <w:sz w:val="24"/>
        </w:rPr>
        <w:t>数量</w:t>
      </w:r>
      <w:r>
        <w:rPr>
          <w:rFonts w:hint="eastAsia" w:ascii="宋体" w:hAnsi="宋体"/>
          <w:b/>
          <w:sz w:val="24"/>
        </w:rPr>
        <w:t>以甲方地磅为准</w:t>
      </w:r>
      <w:r>
        <w:rPr>
          <w:rFonts w:ascii="宋体" w:hAnsi="宋体"/>
          <w:b/>
          <w:sz w:val="24"/>
        </w:rPr>
        <w:t>。</w:t>
      </w:r>
    </w:p>
    <w:p w14:paraId="0DBEA82F">
      <w:pPr>
        <w:spacing w:line="360" w:lineRule="exact"/>
        <w:rPr>
          <w:rFonts w:ascii="宋体" w:hAnsi="宋体"/>
          <w:b/>
          <w:sz w:val="24"/>
        </w:rPr>
      </w:pPr>
    </w:p>
    <w:p w14:paraId="37C2C3B1">
      <w:pPr>
        <w:widowControl/>
        <w:spacing w:line="460" w:lineRule="exact"/>
        <w:jc w:val="left"/>
        <w:outlineLvl w:val="0"/>
        <w:rPr>
          <w:rFonts w:ascii="??" w:hAnsi="??" w:cs="宋体"/>
          <w:b/>
          <w:bCs/>
          <w:color w:val="000000"/>
          <w:kern w:val="0"/>
          <w:sz w:val="24"/>
        </w:rPr>
      </w:pPr>
      <w:r>
        <w:rPr>
          <w:rFonts w:hint="eastAsia" w:ascii="宋体" w:hAnsi="宋体"/>
          <w:b/>
          <w:sz w:val="24"/>
        </w:rPr>
        <w:t>第六条</w:t>
      </w:r>
      <w:r>
        <w:rPr>
          <w:rFonts w:ascii="??" w:hAnsi="??" w:cs="宋体"/>
          <w:b/>
          <w:color w:val="000000"/>
          <w:kern w:val="0"/>
          <w:sz w:val="24"/>
        </w:rPr>
        <w:t>货款结算：</w:t>
      </w:r>
      <w:r>
        <w:rPr>
          <w:rFonts w:ascii="??" w:hAnsi="??" w:cs="宋体"/>
          <w:b/>
          <w:color w:val="000000"/>
          <w:kern w:val="0"/>
          <w:sz w:val="24"/>
          <w:shd w:val="clear" w:color="auto" w:fill="FFFFFF"/>
        </w:rPr>
        <w:t>中标方（买方）须在中标后</w:t>
      </w:r>
      <w:r>
        <w:rPr>
          <w:rFonts w:hint="eastAsia" w:ascii="??" w:hAnsi="??" w:cs="宋体"/>
          <w:b/>
          <w:color w:val="000000"/>
          <w:kern w:val="0"/>
          <w:sz w:val="24"/>
          <w:shd w:val="clear" w:color="auto" w:fill="FFFFFF"/>
        </w:rPr>
        <w:t>3</w:t>
      </w:r>
      <w:r>
        <w:rPr>
          <w:rFonts w:ascii="??" w:hAnsi="??" w:cs="宋体"/>
          <w:b/>
          <w:color w:val="FF0000"/>
          <w:kern w:val="0"/>
          <w:sz w:val="24"/>
          <w:shd w:val="clear" w:color="auto" w:fill="FFFFFF"/>
        </w:rPr>
        <w:t>个工作日</w:t>
      </w:r>
      <w:r>
        <w:rPr>
          <w:rFonts w:ascii="??" w:hAnsi="??" w:cs="宋体"/>
          <w:b/>
          <w:color w:val="000000"/>
          <w:kern w:val="0"/>
          <w:sz w:val="24"/>
          <w:shd w:val="clear" w:color="auto" w:fill="FFFFFF"/>
        </w:rPr>
        <w:t>内与委托方（卖方）签订购销合同</w:t>
      </w:r>
      <w:r>
        <w:rPr>
          <w:rFonts w:hint="eastAsia" w:ascii="??" w:hAnsi="??" w:cs="宋体"/>
          <w:b/>
          <w:color w:val="000000"/>
          <w:kern w:val="0"/>
          <w:sz w:val="24"/>
          <w:shd w:val="clear" w:color="auto" w:fill="FFFFFF"/>
        </w:rPr>
        <w:t>，</w:t>
      </w:r>
      <w:r>
        <w:rPr>
          <w:rFonts w:hint="eastAsia" w:ascii="??" w:hAnsi="??" w:cs="宋体"/>
          <w:b/>
          <w:color w:val="FF0000"/>
          <w:kern w:val="0"/>
          <w:sz w:val="24"/>
          <w:shd w:val="clear" w:color="auto" w:fill="FFFFFF"/>
        </w:rPr>
        <w:t>并于</w:t>
      </w:r>
      <w:r>
        <w:rPr>
          <w:rFonts w:hint="eastAsia" w:cs="宋体" w:asciiTheme="majorEastAsia" w:hAnsiTheme="majorEastAsia" w:eastAsiaTheme="majorEastAsia"/>
          <w:b/>
          <w:color w:val="FF0000"/>
          <w:kern w:val="0"/>
          <w:sz w:val="24"/>
          <w:shd w:val="clear" w:color="auto" w:fill="FFFFFF"/>
        </w:rPr>
        <w:t>2025年11月15</w:t>
      </w:r>
      <w:r>
        <w:rPr>
          <w:rFonts w:hint="eastAsia" w:ascii="??" w:hAnsi="??" w:cs="宋体"/>
          <w:b/>
          <w:color w:val="FF0000"/>
          <w:kern w:val="0"/>
          <w:sz w:val="24"/>
          <w:shd w:val="clear" w:color="auto" w:fill="FFFFFF"/>
        </w:rPr>
        <w:t>日之前付清全部货款。</w:t>
      </w:r>
      <w:r>
        <w:rPr>
          <w:rFonts w:hint="eastAsia" w:ascii="宋体" w:hAnsi="宋体"/>
          <w:b/>
          <w:sz w:val="24"/>
        </w:rPr>
        <w:t>在签订购销合同后在约定的时间内采取款到发货的方式提货完毕。</w:t>
      </w:r>
      <w:r>
        <w:rPr>
          <w:rFonts w:ascii="??" w:hAnsi="??" w:cs="宋体"/>
          <w:b/>
          <w:bCs/>
          <w:color w:val="000000"/>
          <w:kern w:val="0"/>
          <w:sz w:val="24"/>
        </w:rPr>
        <w:t>货物交割结束，由卖方提供正式销货发票，有关印花税等税款按国家有关规定由各自自行交纳。</w:t>
      </w:r>
    </w:p>
    <w:p w14:paraId="290C8209">
      <w:pPr>
        <w:spacing w:line="360" w:lineRule="exact"/>
        <w:rPr>
          <w:rFonts w:ascii="宋体" w:hAnsi="宋体"/>
          <w:b/>
          <w:sz w:val="24"/>
        </w:rPr>
      </w:pPr>
    </w:p>
    <w:p w14:paraId="7C111E8E">
      <w:pPr>
        <w:spacing w:line="360" w:lineRule="exact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</w:rPr>
        <w:t>第七条  其他事项按招标公告执行，未尽事宜，由双方协商确定。</w:t>
      </w:r>
    </w:p>
    <w:p w14:paraId="447C9E5B">
      <w:pPr>
        <w:spacing w:line="360" w:lineRule="exact"/>
        <w:rPr>
          <w:rFonts w:ascii="宋体" w:hAnsi="宋体"/>
          <w:b/>
          <w:sz w:val="24"/>
        </w:rPr>
      </w:pPr>
    </w:p>
    <w:p w14:paraId="4233EAFD">
      <w:pPr>
        <w:spacing w:line="360" w:lineRule="exact"/>
        <w:ind w:left="964" w:hanging="964" w:hangingChars="400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</w:rPr>
        <w:t>第八条  解决纠纷的方式：按《民法典》的有关规定处理。管辖权归甲方所在地人民法院。</w:t>
      </w:r>
    </w:p>
    <w:p w14:paraId="136753A4">
      <w:pPr>
        <w:spacing w:line="360" w:lineRule="exact"/>
        <w:rPr>
          <w:rFonts w:ascii="宋体" w:hAnsi="宋体"/>
          <w:b/>
          <w:sz w:val="24"/>
        </w:rPr>
      </w:pPr>
    </w:p>
    <w:p w14:paraId="4B11928F">
      <w:pPr>
        <w:spacing w:line="360" w:lineRule="exact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</w:rPr>
        <w:t>第九条  本合同一式二份，甲乙双方各执一份（传真件有效）。</w:t>
      </w:r>
    </w:p>
    <w:p w14:paraId="40B240CB">
      <w:pPr>
        <w:spacing w:line="360" w:lineRule="exact"/>
        <w:rPr>
          <w:rFonts w:ascii="宋体" w:hAnsi="宋体"/>
          <w:b/>
          <w:sz w:val="24"/>
        </w:rPr>
      </w:pPr>
    </w:p>
    <w:p w14:paraId="4018C8D0">
      <w:pPr>
        <w:spacing w:line="360" w:lineRule="exact"/>
        <w:rPr>
          <w:rFonts w:ascii="宋体" w:hAnsi="宋体"/>
          <w:b/>
          <w:sz w:val="24"/>
        </w:rPr>
      </w:pPr>
    </w:p>
    <w:p w14:paraId="3DC8BD41">
      <w:pPr>
        <w:spacing w:line="360" w:lineRule="exact"/>
        <w:rPr>
          <w:rFonts w:ascii="宋体" w:hAnsi="宋体"/>
          <w:b/>
          <w:sz w:val="24"/>
        </w:rPr>
      </w:pPr>
    </w:p>
    <w:p w14:paraId="019CA8E0">
      <w:pPr>
        <w:spacing w:line="360" w:lineRule="exact"/>
        <w:ind w:left="5542" w:hanging="5542" w:hangingChars="2300"/>
        <w:jc w:val="left"/>
        <w:rPr>
          <w:rFonts w:ascii="宋体" w:hAnsi="宋体"/>
          <w:b/>
          <w:szCs w:val="21"/>
        </w:rPr>
      </w:pPr>
      <w:r>
        <w:rPr>
          <w:rFonts w:hint="eastAsia" w:ascii="宋体" w:hAnsi="宋体"/>
          <w:b/>
          <w:sz w:val="24"/>
        </w:rPr>
        <w:t>甲方：嵊州市地方储备粮管理有限公司  乙方：宁波梁桥米业有限公司</w:t>
      </w:r>
    </w:p>
    <w:p w14:paraId="52D8B15F">
      <w:pPr>
        <w:spacing w:line="360" w:lineRule="exact"/>
        <w:jc w:val="left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</w:rPr>
        <w:t>统一社会信用代码：913306837652252952</w:t>
      </w:r>
    </w:p>
    <w:p w14:paraId="4B0C1935">
      <w:pPr>
        <w:spacing w:line="360" w:lineRule="exact"/>
        <w:jc w:val="left"/>
        <w:rPr>
          <w:rFonts w:ascii="宋体" w:hAnsi="宋体"/>
          <w:b/>
          <w:sz w:val="24"/>
        </w:rPr>
      </w:pPr>
    </w:p>
    <w:p w14:paraId="2CE98C40">
      <w:pPr>
        <w:spacing w:line="360" w:lineRule="exact"/>
        <w:jc w:val="left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</w:rPr>
        <w:t>地址：嵊州市北直街</w:t>
      </w:r>
      <w:r>
        <w:rPr>
          <w:rFonts w:ascii="宋体" w:hAnsi="宋体"/>
          <w:b/>
          <w:sz w:val="24"/>
        </w:rPr>
        <w:t>81</w:t>
      </w:r>
      <w:r>
        <w:rPr>
          <w:rFonts w:hint="eastAsia" w:ascii="宋体" w:hAnsi="宋体"/>
          <w:b/>
          <w:sz w:val="24"/>
        </w:rPr>
        <w:t>号             地址：</w:t>
      </w:r>
    </w:p>
    <w:p w14:paraId="2D821B7B">
      <w:pPr>
        <w:spacing w:line="360" w:lineRule="exact"/>
        <w:rPr>
          <w:rFonts w:ascii="宋体" w:hAnsi="宋体"/>
          <w:b/>
          <w:sz w:val="24"/>
        </w:rPr>
      </w:pPr>
    </w:p>
    <w:p w14:paraId="3D85E8D5">
      <w:pPr>
        <w:spacing w:line="360" w:lineRule="exact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</w:rPr>
        <w:t>代表（签字）：                       代表（签字）：</w:t>
      </w:r>
    </w:p>
    <w:p w14:paraId="22688F86">
      <w:pPr>
        <w:spacing w:line="360" w:lineRule="exact"/>
        <w:rPr>
          <w:rFonts w:ascii="宋体" w:hAnsi="宋体"/>
          <w:b/>
          <w:sz w:val="24"/>
        </w:rPr>
      </w:pPr>
    </w:p>
    <w:p w14:paraId="15A5390D">
      <w:pPr>
        <w:spacing w:line="360" w:lineRule="exact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</w:rPr>
        <w:t>开户银行：农业发展银行嵊州市支行     开户银行：</w:t>
      </w:r>
    </w:p>
    <w:p w14:paraId="5EDDA74F">
      <w:pPr>
        <w:spacing w:line="360" w:lineRule="exact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</w:rPr>
        <w:t>帐号：20333068300100000002561        帐号：</w:t>
      </w:r>
    </w:p>
    <w:p w14:paraId="4FEC8A8F">
      <w:pPr>
        <w:spacing w:line="360" w:lineRule="exact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</w:rPr>
        <w:t>联系电话（传真）：0575-83010055      联系电话：</w:t>
      </w:r>
    </w:p>
    <w:p w14:paraId="2901F99B">
      <w:pPr>
        <w:spacing w:line="360" w:lineRule="exact"/>
        <w:rPr>
          <w:rFonts w:ascii="宋体" w:hAnsi="宋体"/>
          <w:b/>
          <w:sz w:val="24"/>
        </w:rPr>
      </w:pPr>
    </w:p>
    <w:p w14:paraId="57711E1C"/>
    <w:sectPr>
      <w:headerReference r:id="rId3" w:type="default"/>
      <w:footerReference r:id="rId4" w:type="default"/>
      <w:footerReference r:id="rId5" w:type="even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??">
    <w:altName w:val="MS Gothic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MS Gothic">
    <w:panose1 w:val="020B0609070205080204"/>
    <w:charset w:val="80"/>
    <w:family w:val="auto"/>
    <w:pitch w:val="default"/>
    <w:sig w:usb0="E00002FF" w:usb1="6AC7FDFB" w:usb2="08000012" w:usb3="00000000" w:csb0="4002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C3D0A76">
    <w:pPr>
      <w:pStyle w:val="2"/>
      <w:framePr w:wrap="around" w:vAnchor="text" w:hAnchor="margin" w:xAlign="right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1</w:t>
    </w:r>
    <w:r>
      <w:fldChar w:fldCharType="end"/>
    </w:r>
  </w:p>
  <w:p w14:paraId="25B59A00"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2DAF86E">
    <w:pPr>
      <w:pStyle w:val="2"/>
      <w:framePr w:wrap="around" w:vAnchor="text" w:hAnchor="margin" w:xAlign="right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end"/>
    </w:r>
  </w:p>
  <w:p w14:paraId="79A27F9A">
    <w:pPr>
      <w:pStyle w:val="2"/>
      <w:ind w:right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C3E367E"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2QxM2Q2NmQ2YjBiZDM5OGMxNGQ2YzZjNWQyMmIwOTkifQ=="/>
  </w:docVars>
  <w:rsids>
    <w:rsidRoot w:val="35F51ABA"/>
    <w:rsid w:val="00507A45"/>
    <w:rsid w:val="00575AE1"/>
    <w:rsid w:val="00734452"/>
    <w:rsid w:val="009C70E6"/>
    <w:rsid w:val="009F282A"/>
    <w:rsid w:val="00DD60A3"/>
    <w:rsid w:val="05650CA4"/>
    <w:rsid w:val="170323DB"/>
    <w:rsid w:val="19B85DC1"/>
    <w:rsid w:val="1A872F16"/>
    <w:rsid w:val="1CEC26EC"/>
    <w:rsid w:val="1F797B36"/>
    <w:rsid w:val="21E85FCA"/>
    <w:rsid w:val="25943EAE"/>
    <w:rsid w:val="2EA42B11"/>
    <w:rsid w:val="322629C6"/>
    <w:rsid w:val="35F51ABA"/>
    <w:rsid w:val="368973A1"/>
    <w:rsid w:val="41FF633B"/>
    <w:rsid w:val="43377335"/>
    <w:rsid w:val="529F3ACD"/>
    <w:rsid w:val="53AB0A82"/>
    <w:rsid w:val="56623F32"/>
    <w:rsid w:val="66223466"/>
    <w:rsid w:val="6BB83426"/>
    <w:rsid w:val="6E651FEC"/>
    <w:rsid w:val="72DF1A5E"/>
    <w:rsid w:val="74AE74AF"/>
    <w:rsid w:val="7AEC7106"/>
    <w:rsid w:val="7B4653B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Strong"/>
    <w:basedOn w:val="5"/>
    <w:qFormat/>
    <w:uiPriority w:val="0"/>
    <w:rPr>
      <w:b/>
      <w:bCs/>
    </w:rPr>
  </w:style>
  <w:style w:type="character" w:styleId="7">
    <w:name w:val="page number"/>
    <w:basedOn w:val="5"/>
    <w:qFormat/>
    <w:uiPriority w:val="0"/>
  </w:style>
  <w:style w:type="paragraph" w:customStyle="1" w:styleId="8">
    <w:name w:val="正文 New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2</Pages>
  <Words>774</Words>
  <Characters>831</Characters>
  <Lines>7</Lines>
  <Paragraphs>2</Paragraphs>
  <TotalTime>11</TotalTime>
  <ScaleCrop>false</ScaleCrop>
  <LinksUpToDate>false</LinksUpToDate>
  <CharactersWithSpaces>999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2023-06-13T03:40:00Z</dcterms:created>
  <dc:creator>USER</dc:creator>
  <cp:lastModifiedBy>叶子</cp:lastModifiedBy>
  <dcterms:modified xsi:type="dcterms:W3CDTF">2025-10-24T02:55:36Z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39CBBCD7C7A2448C96620A75DB39AE78</vt:lpwstr>
  </property>
  <property fmtid="{D5CDD505-2E9C-101B-9397-08002B2CF9AE}" pid="4" name="KSOTemplateDocerSaveRecord">
    <vt:lpwstr>eyJoZGlkIjoiMzFiMGUzNGM3NTk4ZGI1ZTY0OTliMWE2NTE1MjI5NzEiLCJ1c2VySWQiOiI0NDUwOTgyOTEifQ==</vt:lpwstr>
  </property>
</Properties>
</file>