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420" w:lineRule="exact"/>
        <w:jc w:val="center"/>
        <w:rPr>
          <w:rFonts w:hint="eastAsia" w:ascii="仿宋_GB2312" w:hAnsi="黑体" w:eastAsia="仿宋_GB2312"/>
          <w:b/>
          <w:kern w:val="13"/>
          <w:sz w:val="36"/>
          <w:szCs w:val="36"/>
        </w:rPr>
      </w:pPr>
      <w:r>
        <w:rPr>
          <w:rFonts w:hint="eastAsia" w:ascii="仿宋_GB2312" w:hAnsi="黑体" w:eastAsia="仿宋_GB2312"/>
          <w:b/>
          <w:kern w:val="13"/>
          <w:sz w:val="36"/>
          <w:szCs w:val="36"/>
        </w:rPr>
        <w:t>浙江省省级储备粮网上公开招标采购规则</w:t>
      </w:r>
    </w:p>
    <w:p>
      <w:pPr>
        <w:spacing w:line="420" w:lineRule="exact"/>
        <w:jc w:val="center"/>
        <w:rPr>
          <w:rFonts w:hint="eastAsia" w:ascii="仿宋_GB2312" w:hAnsi="宋体" w:eastAsia="仿宋_GB2312"/>
          <w:b/>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第一章  总  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第一条 为了规范省级储备粮网上公开招标采购行为，保护交易双方的合法权益，依据《中华人民共和国招标投标法》、《浙江省地方储备粮管理办法》、《浙江省省级储备粮油轮换管理办法》及国家有关法律、法规规定，结合省级储备粮招标采购实际，制定本规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第二条 浙江省粮油交易信息中心（以下简称“交易中心”）受浙江省储备粮管理</w:t>
      </w:r>
      <w:r>
        <w:rPr>
          <w:rFonts w:hint="eastAsia" w:ascii="仿宋_GB2312" w:hAnsi="仿宋_GB2312" w:eastAsia="仿宋_GB2312" w:cs="仿宋_GB2312"/>
          <w:kern w:val="13"/>
          <w:sz w:val="30"/>
          <w:szCs w:val="30"/>
          <w:lang w:val="en-US" w:eastAsia="zh-CN"/>
        </w:rPr>
        <w:t>集团</w:t>
      </w:r>
      <w:r>
        <w:rPr>
          <w:rFonts w:hint="eastAsia" w:ascii="仿宋_GB2312" w:hAnsi="仿宋_GB2312" w:eastAsia="仿宋_GB2312" w:cs="仿宋_GB2312"/>
          <w:kern w:val="13"/>
          <w:sz w:val="30"/>
          <w:szCs w:val="30"/>
        </w:rPr>
        <w:t>有限公司委托组织省级储备粮网上公开招标采购工作。浙江省储备粮管理</w:t>
      </w:r>
      <w:r>
        <w:rPr>
          <w:rFonts w:hint="eastAsia" w:ascii="仿宋_GB2312" w:hAnsi="仿宋_GB2312" w:eastAsia="仿宋_GB2312" w:cs="仿宋_GB2312"/>
          <w:kern w:val="13"/>
          <w:sz w:val="30"/>
          <w:szCs w:val="30"/>
          <w:lang w:val="en-US" w:eastAsia="zh-CN"/>
        </w:rPr>
        <w:t>集团</w:t>
      </w:r>
      <w:r>
        <w:rPr>
          <w:rFonts w:hint="eastAsia" w:ascii="仿宋_GB2312" w:hAnsi="仿宋_GB2312" w:eastAsia="仿宋_GB2312" w:cs="仿宋_GB2312"/>
          <w:kern w:val="13"/>
          <w:sz w:val="30"/>
          <w:szCs w:val="30"/>
        </w:rPr>
        <w:t>有限公司</w:t>
      </w:r>
      <w:r>
        <w:rPr>
          <w:rFonts w:hint="eastAsia" w:ascii="仿宋_GB2312" w:hAnsi="仿宋_GB2312" w:eastAsia="仿宋_GB2312" w:cs="仿宋_GB2312"/>
          <w:kern w:val="13"/>
          <w:sz w:val="30"/>
          <w:szCs w:val="30"/>
          <w:lang w:eastAsia="zh-CN"/>
        </w:rPr>
        <w:t>为省级储备粮买方单位，买方单位所属企业或其委托代储单位作为收</w:t>
      </w:r>
      <w:r>
        <w:rPr>
          <w:rFonts w:hint="eastAsia" w:ascii="仿宋_GB2312" w:hAnsi="仿宋_GB2312" w:eastAsia="仿宋_GB2312" w:cs="仿宋_GB2312"/>
          <w:kern w:val="13"/>
          <w:sz w:val="30"/>
          <w:szCs w:val="30"/>
        </w:rPr>
        <w:t>货</w:t>
      </w:r>
      <w:r>
        <w:rPr>
          <w:rFonts w:hint="eastAsia" w:ascii="仿宋_GB2312" w:hAnsi="仿宋_GB2312" w:eastAsia="仿宋_GB2312" w:cs="仿宋_GB2312"/>
          <w:kern w:val="13"/>
          <w:sz w:val="30"/>
          <w:szCs w:val="30"/>
          <w:lang w:eastAsia="zh-CN"/>
        </w:rPr>
        <w:t>单位</w:t>
      </w:r>
      <w:r>
        <w:rPr>
          <w:rFonts w:hint="eastAsia" w:ascii="仿宋_GB2312" w:hAnsi="仿宋_GB2312" w:eastAsia="仿宋_GB2312" w:cs="仿宋_GB2312"/>
          <w:kern w:val="13"/>
          <w:sz w:val="30"/>
          <w:szCs w:val="30"/>
        </w:rPr>
        <w:t>，并</w:t>
      </w:r>
      <w:r>
        <w:rPr>
          <w:rFonts w:hint="eastAsia" w:ascii="仿宋_GB2312" w:hAnsi="仿宋_GB2312" w:eastAsia="仿宋_GB2312" w:cs="仿宋_GB2312"/>
          <w:kern w:val="13"/>
          <w:sz w:val="30"/>
          <w:szCs w:val="30"/>
          <w:highlight w:val="none"/>
          <w:lang w:val="en-US" w:eastAsia="zh-Hans"/>
        </w:rPr>
        <w:t>依《买卖合同》约定条款</w:t>
      </w:r>
      <w:r>
        <w:rPr>
          <w:rFonts w:hint="eastAsia" w:ascii="仿宋_GB2312" w:hAnsi="仿宋_GB2312" w:eastAsia="仿宋_GB2312" w:cs="仿宋_GB2312"/>
          <w:kern w:val="13"/>
          <w:sz w:val="30"/>
          <w:szCs w:val="30"/>
        </w:rPr>
        <w:t>承担相应责任。</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第三条 本规则适用于由交易中心组织的省级储备粮网上公开招标采购活动。交易双方当事人、交易工作人员等都应当遵守本规则。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第二章  招标准备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第四条 网上采购的</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人为浙江省储备粮管理有限公司。</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人应当向交易中心提供公开招标采购标的物清单及</w:t>
      </w:r>
      <w:r>
        <w:rPr>
          <w:rFonts w:hint="eastAsia" w:ascii="仿宋_GB2312" w:hAnsi="仿宋_GB2312" w:eastAsia="仿宋_GB2312" w:cs="仿宋_GB2312"/>
          <w:kern w:val="13"/>
          <w:sz w:val="30"/>
          <w:szCs w:val="30"/>
          <w:lang w:eastAsia="zh-CN"/>
        </w:rPr>
        <w:t>其他相</w:t>
      </w:r>
      <w:r>
        <w:rPr>
          <w:rFonts w:hint="eastAsia" w:ascii="仿宋_GB2312" w:hAnsi="仿宋_GB2312" w:eastAsia="仿宋_GB2312" w:cs="仿宋_GB2312"/>
          <w:kern w:val="13"/>
          <w:sz w:val="30"/>
          <w:szCs w:val="30"/>
        </w:rPr>
        <w:t>关要求等，主要包括招标采购粮</w:t>
      </w:r>
      <w:r>
        <w:rPr>
          <w:rFonts w:hint="eastAsia" w:ascii="仿宋_GB2312" w:hAnsi="仿宋_GB2312" w:eastAsia="仿宋_GB2312" w:cs="仿宋_GB2312"/>
          <w:kern w:val="13"/>
          <w:sz w:val="30"/>
          <w:szCs w:val="30"/>
          <w:lang w:val="en-US" w:eastAsia="zh-CN"/>
        </w:rPr>
        <w:t>油</w:t>
      </w:r>
      <w:r>
        <w:rPr>
          <w:rFonts w:hint="eastAsia" w:ascii="仿宋_GB2312" w:hAnsi="仿宋_GB2312" w:eastAsia="仿宋_GB2312" w:cs="仿宋_GB2312"/>
          <w:kern w:val="13"/>
          <w:sz w:val="30"/>
          <w:szCs w:val="30"/>
        </w:rPr>
        <w:t>的品种、产地、生产年份、数量、质量要求、交货时间及接收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、投标人资格条件、合同样本等。</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第五条 交易中心根据</w:t>
      </w:r>
      <w:r>
        <w:rPr>
          <w:rFonts w:hint="eastAsia" w:ascii="仿宋_GB2312" w:hAnsi="仿宋_GB2312" w:eastAsia="仿宋_GB2312" w:cs="仿宋_GB2312"/>
          <w:kern w:val="13"/>
          <w:sz w:val="30"/>
          <w:szCs w:val="30"/>
          <w:lang w:val="en-US" w:eastAsia="zh-CN"/>
        </w:rPr>
        <w:t>买受人</w:t>
      </w:r>
      <w:r>
        <w:rPr>
          <w:rFonts w:hint="eastAsia" w:ascii="仿宋_GB2312" w:hAnsi="仿宋_GB2312" w:eastAsia="仿宋_GB2312" w:cs="仿宋_GB2312"/>
          <w:kern w:val="13"/>
          <w:sz w:val="30"/>
          <w:szCs w:val="30"/>
        </w:rPr>
        <w:t>提供招标采购标的物清单等，编制《浙江省省级储备粮网上公开招标采购公告》及《浙江省省级储备粮招标采购标的物明细表》。</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第六条 参加</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的投标人必须执行国家和地方粮食行政管理部门制订的粮食流通统计制度，并且是粮食交易市场的会员。申请会员的资格条件和具体办法等按交易市场的规定办理。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第七条 投标人应当仔细阅读</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公告和买卖合同，准确理解相关约定和要求。投标人应当在招标采购公告规定的时间内按预投数量和公告规定的标准、缴款银行、账号等向交易中心预缴交易保证金和交易手续费。</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第八条 招标采购的最高</w:t>
      </w:r>
      <w:r>
        <w:rPr>
          <w:rFonts w:hint="eastAsia" w:ascii="仿宋_GB2312" w:hAnsi="仿宋_GB2312" w:eastAsia="仿宋_GB2312" w:cs="仿宋_GB2312"/>
          <w:kern w:val="13"/>
          <w:sz w:val="30"/>
          <w:szCs w:val="30"/>
          <w:lang w:eastAsia="zh-CN"/>
        </w:rPr>
        <w:t>限价</w:t>
      </w:r>
      <w:r>
        <w:rPr>
          <w:rFonts w:hint="eastAsia" w:ascii="仿宋_GB2312" w:hAnsi="仿宋_GB2312" w:eastAsia="仿宋_GB2312" w:cs="仿宋_GB2312"/>
          <w:kern w:val="13"/>
          <w:sz w:val="30"/>
          <w:szCs w:val="30"/>
        </w:rPr>
        <w:t>由省级储备粮竞价交易评标</w:t>
      </w:r>
      <w:r>
        <w:rPr>
          <w:rFonts w:hint="eastAsia" w:ascii="仿宋_GB2312" w:hAnsi="仿宋_GB2312" w:eastAsia="仿宋_GB2312" w:cs="仿宋_GB2312"/>
          <w:kern w:val="13"/>
          <w:sz w:val="30"/>
          <w:szCs w:val="30"/>
          <w:lang w:eastAsia="zh-CN"/>
        </w:rPr>
        <w:t>领导</w:t>
      </w:r>
      <w:r>
        <w:rPr>
          <w:rFonts w:hint="eastAsia" w:ascii="仿宋_GB2312" w:hAnsi="仿宋_GB2312" w:eastAsia="仿宋_GB2312" w:cs="仿宋_GB2312"/>
          <w:kern w:val="13"/>
          <w:sz w:val="30"/>
          <w:szCs w:val="30"/>
        </w:rPr>
        <w:t>小组在</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前确定。</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第三章  交易秩序</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第九条 招标采购应当在公告确定的时间和地点（交易市场及交易网站）公开进行，如有变化应提前公告。因公共网络故障等不可抗力造成交易中断的，交易市场有权推迟或暂停交易。投标人因其终端设备等原因不能正常交易的，不影响整体网上招标采购的正常进行。</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第十条 投标人应当认真阅读交易市场的交易规则和操作要求，在网上公开招标采购前登录交易网站，做好交易准备。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第十一条 投标人应当自觉遵守竞价交易的有关规定，禁止恶意串通交易价格等损害其他交易人利益的行为。对交易过程中恶意串通交易价格，实物交割中以次充好</w:t>
      </w:r>
      <w:r>
        <w:rPr>
          <w:rFonts w:hint="eastAsia" w:ascii="仿宋_GB2312" w:hAnsi="仿宋_GB2312" w:eastAsia="仿宋_GB2312" w:cs="仿宋_GB2312"/>
          <w:kern w:val="13"/>
          <w:sz w:val="30"/>
          <w:szCs w:val="30"/>
          <w:lang w:eastAsia="zh-CN"/>
        </w:rPr>
        <w:t>、</w:t>
      </w:r>
      <w:r>
        <w:rPr>
          <w:rFonts w:hint="eastAsia" w:ascii="仿宋_GB2312" w:hAnsi="仿宋_GB2312" w:eastAsia="仿宋_GB2312" w:cs="仿宋_GB2312"/>
          <w:kern w:val="13"/>
          <w:sz w:val="30"/>
          <w:szCs w:val="30"/>
          <w:lang w:val="en-US" w:eastAsia="zh-CN"/>
        </w:rPr>
        <w:t>以陈顶新</w:t>
      </w:r>
      <w:r>
        <w:rPr>
          <w:rFonts w:hint="eastAsia" w:ascii="仿宋_GB2312" w:hAnsi="仿宋_GB2312" w:eastAsia="仿宋_GB2312" w:cs="仿宋_GB2312"/>
          <w:kern w:val="13"/>
          <w:sz w:val="30"/>
          <w:szCs w:val="30"/>
        </w:rPr>
        <w:t>或两次以上不能按时完成交割的，经交易中心查实，</w:t>
      </w:r>
      <w:r>
        <w:rPr>
          <w:rFonts w:hint="eastAsia" w:ascii="仿宋_GB2312" w:hAnsi="仿宋_GB2312" w:eastAsia="仿宋_GB2312" w:cs="仿宋_GB2312"/>
          <w:kern w:val="13"/>
          <w:sz w:val="30"/>
          <w:szCs w:val="30"/>
          <w:lang w:val="en-US" w:eastAsia="zh-CN"/>
        </w:rPr>
        <w:t>列入黑名单</w:t>
      </w:r>
      <w:r>
        <w:rPr>
          <w:rFonts w:hint="eastAsia" w:ascii="仿宋_GB2312" w:hAnsi="仿宋_GB2312" w:eastAsia="仿宋_GB2312" w:cs="仿宋_GB2312"/>
          <w:kern w:val="13"/>
          <w:sz w:val="30"/>
          <w:szCs w:val="30"/>
        </w:rPr>
        <w:t>暂停其交易资格。</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第十二条 竞价交易按交易中心提供的招标采购标的顺序依次进行。</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第四章  竞价交易</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第十三条 交易起</w:t>
      </w:r>
      <w:r>
        <w:rPr>
          <w:rFonts w:hint="eastAsia" w:ascii="仿宋_GB2312" w:hAnsi="仿宋_GB2312" w:eastAsia="仿宋_GB2312" w:cs="仿宋_GB2312"/>
          <w:kern w:val="13"/>
          <w:sz w:val="30"/>
          <w:szCs w:val="30"/>
          <w:lang w:eastAsia="zh-CN"/>
        </w:rPr>
        <w:t>始</w:t>
      </w:r>
      <w:r>
        <w:rPr>
          <w:rFonts w:hint="eastAsia" w:ascii="仿宋_GB2312" w:hAnsi="仿宋_GB2312" w:eastAsia="仿宋_GB2312" w:cs="仿宋_GB2312"/>
          <w:kern w:val="13"/>
          <w:sz w:val="30"/>
          <w:szCs w:val="30"/>
        </w:rPr>
        <w:t>价格为省级储备粮竞价交易评标</w:t>
      </w:r>
      <w:r>
        <w:rPr>
          <w:rFonts w:hint="eastAsia" w:ascii="仿宋_GB2312" w:hAnsi="仿宋_GB2312" w:eastAsia="仿宋_GB2312" w:cs="仿宋_GB2312"/>
          <w:kern w:val="13"/>
          <w:sz w:val="30"/>
          <w:szCs w:val="30"/>
          <w:lang w:eastAsia="zh-CN"/>
        </w:rPr>
        <w:t>领导</w:t>
      </w:r>
      <w:r>
        <w:rPr>
          <w:rFonts w:hint="eastAsia" w:ascii="仿宋_GB2312" w:hAnsi="仿宋_GB2312" w:eastAsia="仿宋_GB2312" w:cs="仿宋_GB2312"/>
          <w:kern w:val="13"/>
          <w:sz w:val="30"/>
          <w:szCs w:val="30"/>
        </w:rPr>
        <w:t>小组确定的招标采购最高</w:t>
      </w:r>
      <w:r>
        <w:rPr>
          <w:rFonts w:hint="eastAsia" w:ascii="仿宋_GB2312" w:hAnsi="仿宋_GB2312" w:eastAsia="仿宋_GB2312" w:cs="仿宋_GB2312"/>
          <w:kern w:val="13"/>
          <w:sz w:val="30"/>
          <w:szCs w:val="30"/>
          <w:lang w:eastAsia="zh-CN"/>
        </w:rPr>
        <w:t>限价</w:t>
      </w:r>
      <w:r>
        <w:rPr>
          <w:rFonts w:hint="eastAsia" w:ascii="仿宋_GB2312" w:hAnsi="仿宋_GB2312" w:eastAsia="仿宋_GB2312" w:cs="仿宋_GB2312"/>
          <w:kern w:val="13"/>
          <w:sz w:val="30"/>
          <w:szCs w:val="30"/>
        </w:rPr>
        <w:t>，</w:t>
      </w:r>
      <w:r>
        <w:rPr>
          <w:rFonts w:hint="eastAsia" w:ascii="仿宋_GB2312" w:hAnsi="仿宋_GB2312" w:eastAsia="仿宋_GB2312" w:cs="仿宋_GB2312"/>
          <w:kern w:val="13"/>
          <w:sz w:val="30"/>
          <w:szCs w:val="30"/>
          <w:lang w:eastAsia="zh-CN"/>
        </w:rPr>
        <w:t>递减报价幅度按公告规定执行</w:t>
      </w:r>
      <w:r>
        <w:rPr>
          <w:rFonts w:hint="eastAsia" w:ascii="仿宋_GB2312" w:hAnsi="仿宋_GB2312" w:eastAsia="仿宋_GB2312" w:cs="仿宋_GB2312"/>
          <w:kern w:val="13"/>
          <w:sz w:val="30"/>
          <w:szCs w:val="30"/>
        </w:rPr>
        <w:t xml:space="preserve">。 </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第十四条 投标人的投标数量不得超过预缴交易保证金所能投标的数量和招标公告规定的最高数量。</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第十五条 参与竞价交易（单一品种）的投标人少于三家时，应当重新组织招标。</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第十六条 交易时，投标人应当点击计算机报价。投标人一经报价，不得撤回。投标人在新价位报价被系统确认后，前一价位报价自动失效。</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第十七条 在招标起</w:t>
      </w:r>
      <w:r>
        <w:rPr>
          <w:rFonts w:hint="eastAsia" w:ascii="仿宋_GB2312" w:hAnsi="仿宋_GB2312" w:eastAsia="仿宋_GB2312" w:cs="仿宋_GB2312"/>
          <w:kern w:val="13"/>
          <w:sz w:val="30"/>
          <w:szCs w:val="30"/>
          <w:lang w:eastAsia="zh-CN"/>
        </w:rPr>
        <w:t>始</w:t>
      </w:r>
      <w:r>
        <w:rPr>
          <w:rFonts w:hint="eastAsia" w:ascii="仿宋_GB2312" w:hAnsi="仿宋_GB2312" w:eastAsia="仿宋_GB2312" w:cs="仿宋_GB2312"/>
          <w:kern w:val="13"/>
          <w:sz w:val="30"/>
          <w:szCs w:val="30"/>
        </w:rPr>
        <w:t>价上无人报价时，即撤销该笔交易。</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第十八条 投标人报价后，在规定时间内无其他投标人报价时，系统确认成交，则该投标人为</w:t>
      </w:r>
      <w:r>
        <w:rPr>
          <w:rFonts w:hint="eastAsia" w:ascii="仿宋_GB2312" w:hAnsi="仿宋_GB2312" w:eastAsia="仿宋_GB2312" w:cs="仿宋_GB2312"/>
          <w:kern w:val="13"/>
          <w:sz w:val="30"/>
          <w:szCs w:val="30"/>
          <w:lang w:eastAsia="zh-CN"/>
        </w:rPr>
        <w:t>出卖人</w:t>
      </w:r>
      <w:r>
        <w:rPr>
          <w:rFonts w:hint="eastAsia" w:ascii="仿宋_GB2312" w:hAnsi="仿宋_GB2312" w:eastAsia="仿宋_GB2312" w:cs="仿宋_GB2312"/>
          <w:kern w:val="13"/>
          <w:sz w:val="30"/>
          <w:szCs w:val="30"/>
        </w:rPr>
        <w:t>，该报价为该标的的成交价格。</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第十九条 网上</w:t>
      </w:r>
      <w:r>
        <w:rPr>
          <w:rFonts w:hint="eastAsia" w:ascii="仿宋_GB2312" w:hAnsi="仿宋_GB2312" w:eastAsia="仿宋_GB2312" w:cs="仿宋_GB2312"/>
          <w:kern w:val="13"/>
          <w:sz w:val="30"/>
          <w:szCs w:val="30"/>
          <w:lang w:eastAsia="zh-CN"/>
        </w:rPr>
        <w:t>招标采购</w:t>
      </w:r>
      <w:r>
        <w:rPr>
          <w:rFonts w:hint="eastAsia" w:ascii="仿宋_GB2312" w:hAnsi="仿宋_GB2312" w:eastAsia="仿宋_GB2312" w:cs="仿宋_GB2312"/>
          <w:kern w:val="13"/>
          <w:sz w:val="30"/>
          <w:szCs w:val="30"/>
        </w:rPr>
        <w:t>结束后，买卖合同由计算机自动生成并打印，买卖双方签字盖章，经交易中心鉴证后组织实施。</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第二十条  买卖合同自系统确认成交之时起生效。系统竞价交易数据应当保留</w:t>
      </w:r>
      <w:bookmarkStart w:id="0" w:name="_GoBack"/>
      <w:bookmarkEnd w:id="0"/>
      <w:r>
        <w:rPr>
          <w:rFonts w:hint="eastAsia" w:ascii="仿宋_GB2312" w:hAnsi="仿宋_GB2312" w:eastAsia="仿宋_GB2312" w:cs="仿宋_GB2312"/>
          <w:kern w:val="13"/>
          <w:sz w:val="30"/>
          <w:szCs w:val="30"/>
          <w:highlight w:val="none"/>
        </w:rPr>
        <w:t>5</w:t>
      </w:r>
      <w:r>
        <w:rPr>
          <w:rFonts w:hint="eastAsia" w:ascii="仿宋_GB2312" w:hAnsi="仿宋_GB2312" w:eastAsia="仿宋_GB2312" w:cs="仿宋_GB2312"/>
          <w:kern w:val="13"/>
          <w:sz w:val="30"/>
          <w:szCs w:val="30"/>
        </w:rPr>
        <w:t>年，以备查询。</w:t>
      </w: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第五章  结算与交割</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第二十一条 买卖双方应当严格履行合同规定的义务，享受合同规定的权利。</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第二十二条 网上交易结束后，</w:t>
      </w:r>
      <w:r>
        <w:rPr>
          <w:rFonts w:hint="eastAsia" w:ascii="仿宋_GB2312" w:hAnsi="仿宋_GB2312" w:eastAsia="仿宋_GB2312" w:cs="仿宋_GB2312"/>
          <w:kern w:val="13"/>
          <w:sz w:val="30"/>
          <w:szCs w:val="30"/>
          <w:lang w:val="en-US" w:eastAsia="zh-CN"/>
        </w:rPr>
        <w:t>已中标的，</w:t>
      </w:r>
      <w:r>
        <w:rPr>
          <w:rFonts w:hint="eastAsia" w:ascii="仿宋_GB2312" w:hAnsi="仿宋_GB2312" w:eastAsia="仿宋_GB2312" w:cs="仿宋_GB2312"/>
          <w:kern w:val="13"/>
          <w:sz w:val="30"/>
          <w:szCs w:val="30"/>
        </w:rPr>
        <w:t>交易中心在扣除应收交易手续费和履约保证金（成交后交易保证金自动转为履约保证金）后，余款在3个工作日内退还；履约保证金根据</w:t>
      </w:r>
      <w:r>
        <w:rPr>
          <w:rFonts w:hint="eastAsia" w:ascii="仿宋_GB2312" w:hAnsi="仿宋_GB2312" w:eastAsia="仿宋_GB2312" w:cs="仿宋_GB2312"/>
          <w:kern w:val="13"/>
          <w:sz w:val="30"/>
          <w:szCs w:val="30"/>
          <w:lang w:val="en-US" w:eastAsia="zh-CN"/>
        </w:rPr>
        <w:t>买受人</w:t>
      </w:r>
      <w:r>
        <w:rPr>
          <w:rFonts w:hint="eastAsia" w:ascii="仿宋_GB2312" w:hAnsi="仿宋_GB2312" w:eastAsia="仿宋_GB2312" w:cs="仿宋_GB2312"/>
          <w:kern w:val="13"/>
          <w:sz w:val="30"/>
          <w:szCs w:val="30"/>
        </w:rPr>
        <w:t>提供的买卖合同履约情况退还。未中标的，其预缴的交易保证金和交易手续费在交易结束后3个工作日内退还。</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第二十三条 合同签订后，交易中心按合同金额的2‰向买卖双方收取交易手续费</w:t>
      </w:r>
      <w:r>
        <w:rPr>
          <w:rFonts w:hint="eastAsia" w:ascii="仿宋_GB2312" w:hAnsi="仿宋_GB2312" w:eastAsia="仿宋_GB2312" w:cs="仿宋_GB2312"/>
          <w:kern w:val="13"/>
          <w:sz w:val="30"/>
          <w:szCs w:val="30"/>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第二十四条 交货期限按合同约定。交货数量以</w:t>
      </w:r>
      <w:r>
        <w:rPr>
          <w:rFonts w:hint="eastAsia" w:ascii="仿宋_GB2312" w:hAnsi="仿宋_GB2312" w:eastAsia="仿宋_GB2312" w:cs="仿宋_GB2312"/>
          <w:kern w:val="13"/>
          <w:sz w:val="30"/>
          <w:szCs w:val="30"/>
          <w:lang w:val="en-US" w:eastAsia="zh-CN"/>
        </w:rPr>
        <w:t>买受</w:t>
      </w:r>
      <w:r>
        <w:rPr>
          <w:rFonts w:hint="eastAsia" w:ascii="仿宋_GB2312" w:hAnsi="仿宋_GB2312" w:eastAsia="仿宋_GB2312" w:cs="仿宋_GB2312"/>
          <w:kern w:val="13"/>
          <w:sz w:val="30"/>
          <w:szCs w:val="30"/>
        </w:rPr>
        <w:t>人指定接收</w:t>
      </w:r>
      <w:r>
        <w:rPr>
          <w:rFonts w:hint="eastAsia" w:ascii="仿宋_GB2312" w:hAnsi="仿宋_GB2312" w:eastAsia="仿宋_GB2312" w:cs="仿宋_GB2312"/>
          <w:kern w:val="13"/>
          <w:sz w:val="30"/>
          <w:szCs w:val="30"/>
          <w:lang w:val="en-US" w:eastAsia="zh-CN"/>
        </w:rPr>
        <w:t>单位的</w:t>
      </w:r>
      <w:r>
        <w:rPr>
          <w:rFonts w:hint="eastAsia" w:ascii="仿宋_GB2312" w:hAnsi="仿宋_GB2312" w:eastAsia="仿宋_GB2312" w:cs="仿宋_GB2312"/>
          <w:kern w:val="13"/>
          <w:sz w:val="30"/>
          <w:szCs w:val="30"/>
        </w:rPr>
        <w:t>地磅计量为准。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第二十五条 货物到达</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人指定接收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后，接收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应当及时组织检斤验质。货物的数量、质量按合同规定执行。验收无误的，双方签署验收</w:t>
      </w:r>
      <w:r>
        <w:rPr>
          <w:rFonts w:hint="eastAsia" w:ascii="仿宋_GB2312" w:hAnsi="仿宋_GB2312" w:eastAsia="仿宋_GB2312" w:cs="仿宋_GB2312"/>
          <w:kern w:val="13"/>
          <w:sz w:val="30"/>
          <w:szCs w:val="30"/>
          <w:lang w:val="en-US" w:eastAsia="zh-CN"/>
        </w:rPr>
        <w:t>情况</w:t>
      </w:r>
      <w:r>
        <w:rPr>
          <w:rFonts w:hint="eastAsia" w:ascii="仿宋_GB2312" w:hAnsi="仿宋_GB2312" w:eastAsia="仿宋_GB2312" w:cs="仿宋_GB2312"/>
          <w:kern w:val="13"/>
          <w:sz w:val="30"/>
          <w:szCs w:val="30"/>
        </w:rPr>
        <w:t>报告并送达</w:t>
      </w:r>
      <w:r>
        <w:rPr>
          <w:rFonts w:hint="eastAsia" w:ascii="仿宋_GB2312" w:hAnsi="仿宋_GB2312" w:eastAsia="仿宋_GB2312" w:cs="仿宋_GB2312"/>
          <w:kern w:val="13"/>
          <w:sz w:val="30"/>
          <w:szCs w:val="30"/>
          <w:lang w:val="en-US" w:eastAsia="zh-CN"/>
        </w:rPr>
        <w:t>买受</w:t>
      </w:r>
      <w:r>
        <w:rPr>
          <w:rFonts w:hint="eastAsia" w:ascii="仿宋_GB2312" w:hAnsi="仿宋_GB2312" w:eastAsia="仿宋_GB2312" w:cs="仿宋_GB2312"/>
          <w:kern w:val="13"/>
          <w:sz w:val="30"/>
          <w:szCs w:val="30"/>
        </w:rPr>
        <w:t>人。</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人应当按入库数量和合同约定及时结清货款。</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第二十六条 </w:t>
      </w:r>
      <w:r>
        <w:rPr>
          <w:rFonts w:hint="eastAsia" w:ascii="仿宋_GB2312" w:eastAsia="仿宋_GB2312"/>
          <w:kern w:val="13"/>
          <w:sz w:val="30"/>
          <w:lang w:val="en-US" w:eastAsia="zh-CN"/>
        </w:rPr>
        <w:t>按照《买卖合同》约定，完成</w:t>
      </w:r>
      <w:r>
        <w:rPr>
          <w:rFonts w:hint="eastAsia" w:ascii="仿宋_GB2312" w:eastAsia="仿宋_GB2312"/>
          <w:kern w:val="13"/>
          <w:sz w:val="30"/>
        </w:rPr>
        <w:t>粮食</w:t>
      </w:r>
      <w:r>
        <w:rPr>
          <w:rFonts w:hint="eastAsia" w:ascii="仿宋_GB2312" w:eastAsia="仿宋_GB2312"/>
          <w:kern w:val="13"/>
          <w:sz w:val="30"/>
          <w:lang w:eastAsia="zh-CN"/>
        </w:rPr>
        <w:t>入</w:t>
      </w:r>
      <w:r>
        <w:rPr>
          <w:rFonts w:hint="eastAsia" w:ascii="仿宋_GB2312" w:eastAsia="仿宋_GB2312"/>
          <w:kern w:val="13"/>
          <w:sz w:val="30"/>
        </w:rPr>
        <w:t>库</w:t>
      </w:r>
      <w:r>
        <w:rPr>
          <w:rFonts w:hint="eastAsia" w:ascii="仿宋_GB2312" w:eastAsia="仿宋_GB2312"/>
          <w:kern w:val="13"/>
          <w:sz w:val="30"/>
          <w:lang w:eastAsia="zh-CN"/>
        </w:rPr>
        <w:t>及入库过程中涉及交货方式变更、延期储存、损溢等</w:t>
      </w:r>
      <w:r>
        <w:rPr>
          <w:rFonts w:hint="eastAsia" w:ascii="仿宋_GB2312" w:eastAsia="仿宋_GB2312"/>
          <w:kern w:val="13"/>
          <w:sz w:val="30"/>
        </w:rPr>
        <w:t>商务处理</w:t>
      </w:r>
      <w:r>
        <w:rPr>
          <w:rFonts w:hint="eastAsia" w:ascii="仿宋_GB2312" w:eastAsia="仿宋_GB2312"/>
          <w:kern w:val="13"/>
          <w:sz w:val="30"/>
          <w:lang w:eastAsia="zh-CN"/>
        </w:rPr>
        <w:t>等</w:t>
      </w:r>
      <w:r>
        <w:rPr>
          <w:rFonts w:hint="eastAsia" w:ascii="仿宋_GB2312" w:eastAsia="仿宋_GB2312"/>
          <w:kern w:val="13"/>
          <w:sz w:val="30"/>
        </w:rPr>
        <w:t>工作</w:t>
      </w:r>
      <w:r>
        <w:rPr>
          <w:rFonts w:hint="eastAsia" w:ascii="仿宋_GB2312" w:eastAsia="仿宋_GB2312"/>
          <w:kern w:val="13"/>
          <w:sz w:val="30"/>
          <w:lang w:eastAsia="zh-CN"/>
        </w:rPr>
        <w:t>，</w:t>
      </w:r>
      <w:r>
        <w:rPr>
          <w:rFonts w:hint="eastAsia" w:ascii="仿宋_GB2312" w:eastAsia="仿宋_GB2312"/>
          <w:kern w:val="13"/>
          <w:sz w:val="30"/>
          <w:highlight w:val="none"/>
        </w:rPr>
        <w:t>并</w:t>
      </w:r>
      <w:r>
        <w:rPr>
          <w:rFonts w:hint="eastAsia" w:ascii="仿宋_GB2312" w:eastAsia="仿宋_GB2312"/>
          <w:kern w:val="13"/>
          <w:sz w:val="30"/>
          <w:highlight w:val="none"/>
          <w:lang w:val="en-US" w:eastAsia="zh-Hans"/>
        </w:rPr>
        <w:t>依《买卖合同》约定条款</w:t>
      </w:r>
      <w:r>
        <w:rPr>
          <w:rFonts w:hint="eastAsia" w:ascii="仿宋_GB2312" w:eastAsia="仿宋_GB2312"/>
          <w:kern w:val="13"/>
          <w:sz w:val="30"/>
        </w:rPr>
        <w:t>承担相应责任</w:t>
      </w:r>
      <w:r>
        <w:rPr>
          <w:rFonts w:hint="eastAsia" w:ascii="仿宋_GB2312" w:eastAsia="仿宋_GB2312"/>
          <w:kern w:val="13"/>
          <w:sz w:val="30"/>
          <w:lang w:eastAsia="zh-CN"/>
        </w:rPr>
        <w:t>。</w:t>
      </w: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第六章  违约处</w:t>
      </w:r>
      <w:r>
        <w:rPr>
          <w:rFonts w:hint="eastAsia" w:ascii="仿宋_GB2312" w:hAnsi="仿宋_GB2312" w:eastAsia="仿宋_GB2312" w:cs="仿宋_GB2312"/>
          <w:kern w:val="13"/>
          <w:sz w:val="30"/>
          <w:szCs w:val="30"/>
          <w:lang w:eastAsia="zh-CN"/>
        </w:rPr>
        <w:t>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第二十九条 </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人未按合同规定的时间将货物全部发运到</w:t>
      </w:r>
      <w:r>
        <w:rPr>
          <w:rFonts w:hint="eastAsia" w:ascii="仿宋_GB2312" w:hAnsi="仿宋_GB2312" w:eastAsia="仿宋_GB2312" w:cs="仿宋_GB2312"/>
          <w:kern w:val="13"/>
          <w:sz w:val="30"/>
          <w:szCs w:val="30"/>
          <w:lang w:val="en-US" w:eastAsia="zh-CN"/>
        </w:rPr>
        <w:t xml:space="preserve"> 买受</w:t>
      </w:r>
      <w:r>
        <w:rPr>
          <w:rFonts w:hint="eastAsia" w:ascii="仿宋_GB2312" w:hAnsi="仿宋_GB2312" w:eastAsia="仿宋_GB2312" w:cs="仿宋_GB2312"/>
          <w:kern w:val="13"/>
          <w:sz w:val="30"/>
          <w:szCs w:val="30"/>
        </w:rPr>
        <w:t>人指定的接收</w:t>
      </w:r>
      <w:r>
        <w:rPr>
          <w:rFonts w:hint="eastAsia" w:ascii="仿宋_GB2312" w:hAnsi="仿宋_GB2312" w:eastAsia="仿宋_GB2312" w:cs="仿宋_GB2312"/>
          <w:kern w:val="13"/>
          <w:sz w:val="30"/>
          <w:szCs w:val="30"/>
          <w:lang w:val="en-US" w:eastAsia="zh-CN"/>
        </w:rPr>
        <w:t>单位</w:t>
      </w:r>
      <w:r>
        <w:rPr>
          <w:rFonts w:hint="eastAsia" w:ascii="仿宋_GB2312" w:hAnsi="仿宋_GB2312" w:eastAsia="仿宋_GB2312" w:cs="仿宋_GB2312"/>
          <w:kern w:val="13"/>
          <w:sz w:val="30"/>
          <w:szCs w:val="30"/>
        </w:rPr>
        <w:t>，视为违约，合同终止。交易中心将按违约数量计算的履约保证金划拨给</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第三十条 </w:t>
      </w:r>
      <w:r>
        <w:rPr>
          <w:rFonts w:hint="eastAsia" w:ascii="仿宋_GB2312" w:hAnsi="仿宋_GB2312" w:eastAsia="仿宋_GB2312" w:cs="仿宋_GB2312"/>
          <w:kern w:val="13"/>
          <w:sz w:val="30"/>
          <w:szCs w:val="30"/>
          <w:lang w:eastAsia="zh-CN"/>
        </w:rPr>
        <w:t>买受</w:t>
      </w:r>
      <w:r>
        <w:rPr>
          <w:rFonts w:hint="eastAsia" w:ascii="仿宋_GB2312" w:hAnsi="仿宋_GB2312" w:eastAsia="仿宋_GB2312" w:cs="仿宋_GB2312"/>
          <w:kern w:val="13"/>
          <w:sz w:val="30"/>
          <w:szCs w:val="30"/>
        </w:rPr>
        <w:t>人未能按合同规定的方式和期限将货款分批或一次性支付给</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人的，视为违约。交易中心负责向</w:t>
      </w:r>
      <w:r>
        <w:rPr>
          <w:rFonts w:hint="eastAsia" w:ascii="仿宋_GB2312" w:hAnsi="仿宋_GB2312" w:eastAsia="仿宋_GB2312" w:cs="仿宋_GB2312"/>
          <w:kern w:val="13"/>
          <w:sz w:val="30"/>
          <w:szCs w:val="30"/>
          <w:lang w:eastAsia="zh-CN"/>
        </w:rPr>
        <w:t>买受人</w:t>
      </w:r>
      <w:r>
        <w:rPr>
          <w:rFonts w:hint="eastAsia" w:ascii="仿宋_GB2312" w:hAnsi="仿宋_GB2312" w:eastAsia="仿宋_GB2312" w:cs="仿宋_GB2312"/>
          <w:kern w:val="13"/>
          <w:sz w:val="30"/>
          <w:szCs w:val="30"/>
        </w:rPr>
        <w:t>索要货款；索要无果的，可通过法律途径解决。</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第三十一条 如遇不可抗力的原因，</w:t>
      </w:r>
      <w:r>
        <w:rPr>
          <w:rFonts w:hint="eastAsia" w:ascii="仿宋_GB2312" w:hAnsi="仿宋_GB2312" w:eastAsia="仿宋_GB2312" w:cs="仿宋_GB2312"/>
          <w:kern w:val="13"/>
          <w:sz w:val="30"/>
          <w:szCs w:val="30"/>
          <w:lang w:eastAsia="zh-CN"/>
        </w:rPr>
        <w:t>出卖</w:t>
      </w:r>
      <w:r>
        <w:rPr>
          <w:rFonts w:hint="eastAsia" w:ascii="仿宋_GB2312" w:hAnsi="仿宋_GB2312" w:eastAsia="仿宋_GB2312" w:cs="仿宋_GB2312"/>
          <w:kern w:val="13"/>
          <w:sz w:val="30"/>
          <w:szCs w:val="30"/>
        </w:rPr>
        <w:t>人无法部分或全部履行合同时，经双方协商后可以解除部分或全部合同。其他原因当事人要求解除合同的，按《中华人民共和国</w:t>
      </w:r>
      <w:r>
        <w:rPr>
          <w:rFonts w:hint="eastAsia" w:ascii="仿宋_GB2312" w:hAnsi="仿宋_GB2312" w:eastAsia="仿宋_GB2312" w:cs="仿宋_GB2312"/>
          <w:kern w:val="13"/>
          <w:sz w:val="30"/>
          <w:szCs w:val="30"/>
          <w:lang w:eastAsia="zh-CN"/>
        </w:rPr>
        <w:t>民法典</w:t>
      </w:r>
      <w:r>
        <w:rPr>
          <w:rFonts w:hint="eastAsia" w:ascii="仿宋_GB2312" w:hAnsi="仿宋_GB2312" w:eastAsia="仿宋_GB2312" w:cs="仿宋_GB2312"/>
          <w:kern w:val="13"/>
          <w:sz w:val="30"/>
          <w:szCs w:val="30"/>
        </w:rPr>
        <w:t>》规定处理。</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jc w:val="center"/>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第七章  附 则</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第三十二条 本规则由浙江省粮油交易信息中心负责解释。</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第三十三条 本规则自发布之日起实施。</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spacing w:line="420" w:lineRule="exact"/>
        <w:ind w:firstLine="600" w:firstLineChars="200"/>
        <w:rPr>
          <w:rFonts w:ascii="仿宋_GB2312" w:eastAsia="仿宋_GB2312"/>
          <w:kern w:val="13"/>
          <w:sz w:val="30"/>
        </w:rPr>
      </w:pPr>
      <w:r>
        <w:rPr>
          <w:rFonts w:hint="default" w:ascii="仿宋_GB2312" w:hAnsi="仿宋_GB2312" w:eastAsia="仿宋_GB2312" w:cs="仿宋_GB2312"/>
          <w:kern w:val="13"/>
          <w:sz w:val="30"/>
          <w:szCs w:val="30"/>
          <w:lang w:val="en"/>
        </w:rPr>
        <w:t xml:space="preserve">                          </w:t>
      </w:r>
      <w:r>
        <w:rPr>
          <w:rFonts w:hint="eastAsia" w:ascii="仿宋_GB2312" w:eastAsia="仿宋_GB2312"/>
          <w:kern w:val="13"/>
          <w:sz w:val="30"/>
        </w:rPr>
        <w:t>浙江省粮油交易信息中心</w:t>
      </w:r>
    </w:p>
    <w:p>
      <w:pPr>
        <w:spacing w:line="420" w:lineRule="exact"/>
        <w:ind w:firstLine="600" w:firstLineChars="200"/>
        <w:rPr>
          <w:rFonts w:hint="eastAsia" w:ascii="仿宋_GB2312" w:eastAsia="仿宋_GB2312"/>
          <w:kern w:val="13"/>
          <w:sz w:val="30"/>
        </w:rPr>
      </w:pPr>
      <w:r>
        <w:rPr>
          <w:rFonts w:hint="eastAsia" w:ascii="仿宋_GB2312" w:eastAsia="仿宋_GB2312"/>
          <w:kern w:val="13"/>
          <w:sz w:val="30"/>
        </w:rPr>
        <w:t xml:space="preserve">                              二Ｏ</w:t>
      </w:r>
      <w:r>
        <w:rPr>
          <w:rFonts w:hint="eastAsia" w:ascii="仿宋_GB2312" w:eastAsia="仿宋_GB2312"/>
          <w:kern w:val="13"/>
          <w:sz w:val="30"/>
          <w:lang w:eastAsia="zh-CN"/>
        </w:rPr>
        <w:t>二</w:t>
      </w:r>
      <w:r>
        <w:rPr>
          <w:rFonts w:hint="eastAsia" w:ascii="仿宋_GB2312" w:eastAsia="仿宋_GB2312"/>
          <w:kern w:val="13"/>
          <w:sz w:val="30"/>
          <w:lang w:val="en-US" w:eastAsia="zh-CN"/>
        </w:rPr>
        <w:t>四</w:t>
      </w:r>
      <w:r>
        <w:rPr>
          <w:rFonts w:hint="eastAsia" w:ascii="仿宋_GB2312" w:eastAsia="仿宋_GB2312"/>
          <w:kern w:val="13"/>
          <w:sz w:val="30"/>
        </w:rPr>
        <w:t>年</w:t>
      </w:r>
      <w:r>
        <w:rPr>
          <w:rFonts w:hint="eastAsia" w:ascii="仿宋_GB2312" w:eastAsia="仿宋_GB2312"/>
          <w:kern w:val="13"/>
          <w:sz w:val="30"/>
          <w:lang w:val="en-US" w:eastAsia="zh-CN"/>
        </w:rPr>
        <w:t>八</w:t>
      </w:r>
      <w:r>
        <w:rPr>
          <w:rFonts w:hint="eastAsia" w:ascii="仿宋_GB2312" w:eastAsia="仿宋_GB2312"/>
          <w:kern w:val="13"/>
          <w:sz w:val="30"/>
        </w:rPr>
        <w:t>月</w:t>
      </w: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default" w:ascii="仿宋_GB2312" w:hAnsi="仿宋_GB2312" w:eastAsia="仿宋_GB2312" w:cs="仿宋_GB2312"/>
          <w:kern w:val="13"/>
          <w:sz w:val="30"/>
          <w:szCs w:val="30"/>
          <w:lang w:val="en"/>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p>
    <w:p>
      <w:pPr>
        <w:keepNext w:val="0"/>
        <w:keepLines w:val="0"/>
        <w:pageBreakBefore w:val="0"/>
        <w:widowControl w:val="0"/>
        <w:kinsoku/>
        <w:wordWrap/>
        <w:overflowPunct/>
        <w:topLinePunct w:val="0"/>
        <w:autoSpaceDE/>
        <w:autoSpaceDN/>
        <w:bidi w:val="0"/>
        <w:adjustRightInd/>
        <w:snapToGrid/>
        <w:spacing w:line="420" w:lineRule="exact"/>
        <w:ind w:firstLine="600" w:firstLineChars="200"/>
        <w:jc w:val="both"/>
        <w:textAlignment w:val="auto"/>
        <w:rPr>
          <w:rFonts w:hint="eastAsia" w:ascii="仿宋_GB2312" w:hAnsi="仿宋_GB2312" w:eastAsia="仿宋_GB2312" w:cs="仿宋_GB2312"/>
          <w:kern w:val="13"/>
          <w:sz w:val="30"/>
          <w:szCs w:val="30"/>
        </w:rPr>
      </w:pPr>
      <w:r>
        <w:rPr>
          <w:rFonts w:hint="eastAsia" w:ascii="仿宋_GB2312" w:hAnsi="仿宋_GB2312" w:eastAsia="仿宋_GB2312" w:cs="仿宋_GB2312"/>
          <w:kern w:val="13"/>
          <w:sz w:val="30"/>
          <w:szCs w:val="30"/>
        </w:rPr>
        <w:t xml:space="preserve">                                   </w:t>
      </w:r>
    </w:p>
    <w:sectPr>
      <w:headerReference r:id="rId3" w:type="default"/>
      <w:footerReference r:id="rId5" w:type="default"/>
      <w:headerReference r:id="rId4" w:type="even"/>
      <w:footerReference r:id="rId6" w:type="even"/>
      <w:pgSz w:w="11907" w:h="16840"/>
      <w:pgMar w:top="1440" w:right="1928" w:bottom="1440" w:left="1985" w:header="720" w:footer="720" w:gutter="0"/>
      <w:cols w:space="720" w:num="1"/>
      <w:docGrid w:linePitch="28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separate"/>
    </w:r>
    <w:r>
      <w:rPr>
        <w:rStyle w:val="7"/>
      </w:rPr>
      <w:t>6</w:t>
    </w:r>
    <w:r>
      <w:rPr>
        <w:rStyle w:val="7"/>
      </w:rPr>
      <w:fldChar w:fldCharType="end"/>
    </w:r>
  </w:p>
  <w:p>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framePr w:wrap="around" w:vAnchor="text" w:hAnchor="margin" w:xAlign="center" w:y="1"/>
      <w:rPr>
        <w:rStyle w:val="7"/>
      </w:rPr>
    </w:pPr>
    <w:r>
      <w:rPr>
        <w:rStyle w:val="7"/>
      </w:rPr>
      <w:fldChar w:fldCharType="begin"/>
    </w:r>
    <w:r>
      <w:rPr>
        <w:rStyle w:val="7"/>
      </w:rPr>
      <w:instrText xml:space="preserve">PAGE  </w:instrText>
    </w:r>
    <w:r>
      <w:rPr>
        <w:rStyle w:val="7"/>
      </w:rPr>
      <w:fldChar w:fldCharType="end"/>
    </w:r>
  </w:p>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true"/>
  <w:bordersDoNotSurroundFooter w:val="tru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true"/>
  <w:documentProtection w:enforcement="0"/>
  <w:defaultTabStop w:val="420"/>
  <w:hyphenationZone w:val="360"/>
  <w:drawingGridHorizontalSpacing w:val="105"/>
  <w:drawingGridVerticalSpacing w:val="285"/>
  <w:displayHorizontalDrawingGridEvery w:val="0"/>
  <w:displayVerticalDrawingGridEvery w:val="1"/>
  <w:characterSpacingControl w:val="compressPunctuation"/>
  <w:compat>
    <w:spaceForUL/>
    <w:balanceSingleByteDoubleByteWidth/>
    <w:doNotLeaveBackslashAlone/>
    <w:ulTrailSpace/>
    <w:doNotExpandShiftReturn/>
    <w:doNotBreakWrappedTables/>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lMWIyYjY2M2YxNTljZDBiMTVjZTMxNjcwNmJhZDIifQ=="/>
  </w:docVars>
  <w:rsids>
    <w:rsidRoot w:val="004A5D7F"/>
    <w:rsid w:val="000051C4"/>
    <w:rsid w:val="000229A5"/>
    <w:rsid w:val="000263EA"/>
    <w:rsid w:val="00041FF0"/>
    <w:rsid w:val="00057C60"/>
    <w:rsid w:val="000654DF"/>
    <w:rsid w:val="00080BD7"/>
    <w:rsid w:val="000A0582"/>
    <w:rsid w:val="000B0C5B"/>
    <w:rsid w:val="000D3585"/>
    <w:rsid w:val="000D559D"/>
    <w:rsid w:val="000F2F0A"/>
    <w:rsid w:val="00100AD2"/>
    <w:rsid w:val="00132358"/>
    <w:rsid w:val="001402F6"/>
    <w:rsid w:val="00156F9D"/>
    <w:rsid w:val="001714E9"/>
    <w:rsid w:val="00175853"/>
    <w:rsid w:val="001C7EA0"/>
    <w:rsid w:val="00204350"/>
    <w:rsid w:val="00225E0D"/>
    <w:rsid w:val="002411C2"/>
    <w:rsid w:val="00257C69"/>
    <w:rsid w:val="00274C67"/>
    <w:rsid w:val="0029220B"/>
    <w:rsid w:val="002A1D42"/>
    <w:rsid w:val="002B3411"/>
    <w:rsid w:val="002B747B"/>
    <w:rsid w:val="002B7C6D"/>
    <w:rsid w:val="002E01AD"/>
    <w:rsid w:val="002E46D2"/>
    <w:rsid w:val="002F461A"/>
    <w:rsid w:val="003050E0"/>
    <w:rsid w:val="00321776"/>
    <w:rsid w:val="00335FA9"/>
    <w:rsid w:val="00375F33"/>
    <w:rsid w:val="003943D8"/>
    <w:rsid w:val="003D5B4C"/>
    <w:rsid w:val="003E5C98"/>
    <w:rsid w:val="003F132C"/>
    <w:rsid w:val="003F25A5"/>
    <w:rsid w:val="003F2BDE"/>
    <w:rsid w:val="004200ED"/>
    <w:rsid w:val="0048451C"/>
    <w:rsid w:val="00484C2C"/>
    <w:rsid w:val="004A5D7F"/>
    <w:rsid w:val="004B123A"/>
    <w:rsid w:val="004C2FEB"/>
    <w:rsid w:val="004C4544"/>
    <w:rsid w:val="004D2ACC"/>
    <w:rsid w:val="004E34D5"/>
    <w:rsid w:val="004E4A85"/>
    <w:rsid w:val="005002FE"/>
    <w:rsid w:val="00502478"/>
    <w:rsid w:val="00505321"/>
    <w:rsid w:val="00516EB7"/>
    <w:rsid w:val="005271DE"/>
    <w:rsid w:val="00527259"/>
    <w:rsid w:val="005323A5"/>
    <w:rsid w:val="00537CF2"/>
    <w:rsid w:val="00556B5B"/>
    <w:rsid w:val="00563B13"/>
    <w:rsid w:val="00564C7D"/>
    <w:rsid w:val="00570595"/>
    <w:rsid w:val="0057270D"/>
    <w:rsid w:val="005A2EE6"/>
    <w:rsid w:val="005B601A"/>
    <w:rsid w:val="005E2710"/>
    <w:rsid w:val="005E6192"/>
    <w:rsid w:val="0060325E"/>
    <w:rsid w:val="006142F4"/>
    <w:rsid w:val="00644BCD"/>
    <w:rsid w:val="0065527C"/>
    <w:rsid w:val="00692A98"/>
    <w:rsid w:val="006952BB"/>
    <w:rsid w:val="006A45B5"/>
    <w:rsid w:val="006B3EFF"/>
    <w:rsid w:val="006B45D8"/>
    <w:rsid w:val="006D344B"/>
    <w:rsid w:val="006E05B0"/>
    <w:rsid w:val="006F358B"/>
    <w:rsid w:val="00704816"/>
    <w:rsid w:val="0070747E"/>
    <w:rsid w:val="007653C5"/>
    <w:rsid w:val="007854EB"/>
    <w:rsid w:val="00796FAE"/>
    <w:rsid w:val="007B2D12"/>
    <w:rsid w:val="007B6BF7"/>
    <w:rsid w:val="007C557F"/>
    <w:rsid w:val="007E456D"/>
    <w:rsid w:val="00813D8A"/>
    <w:rsid w:val="00826883"/>
    <w:rsid w:val="00826C8C"/>
    <w:rsid w:val="00831492"/>
    <w:rsid w:val="00832097"/>
    <w:rsid w:val="0083519D"/>
    <w:rsid w:val="00837F46"/>
    <w:rsid w:val="00841851"/>
    <w:rsid w:val="008534D7"/>
    <w:rsid w:val="00866259"/>
    <w:rsid w:val="0086701D"/>
    <w:rsid w:val="00876259"/>
    <w:rsid w:val="00890EC1"/>
    <w:rsid w:val="00893688"/>
    <w:rsid w:val="00896C4A"/>
    <w:rsid w:val="00902703"/>
    <w:rsid w:val="009326E8"/>
    <w:rsid w:val="0093347A"/>
    <w:rsid w:val="00941B5D"/>
    <w:rsid w:val="009506F2"/>
    <w:rsid w:val="0096269B"/>
    <w:rsid w:val="00967C02"/>
    <w:rsid w:val="00983048"/>
    <w:rsid w:val="009C5BF3"/>
    <w:rsid w:val="009D00A7"/>
    <w:rsid w:val="00A02BD0"/>
    <w:rsid w:val="00A335C6"/>
    <w:rsid w:val="00A373F1"/>
    <w:rsid w:val="00A4593B"/>
    <w:rsid w:val="00A6416C"/>
    <w:rsid w:val="00A72304"/>
    <w:rsid w:val="00A8052B"/>
    <w:rsid w:val="00A95328"/>
    <w:rsid w:val="00AA5F33"/>
    <w:rsid w:val="00AA68BA"/>
    <w:rsid w:val="00AB3A0B"/>
    <w:rsid w:val="00AC38F6"/>
    <w:rsid w:val="00B11858"/>
    <w:rsid w:val="00B169F9"/>
    <w:rsid w:val="00B42ECF"/>
    <w:rsid w:val="00B61FAB"/>
    <w:rsid w:val="00B6392D"/>
    <w:rsid w:val="00B76BDB"/>
    <w:rsid w:val="00B80401"/>
    <w:rsid w:val="00B82D80"/>
    <w:rsid w:val="00BA2FC1"/>
    <w:rsid w:val="00BC2650"/>
    <w:rsid w:val="00BD6E51"/>
    <w:rsid w:val="00BD7175"/>
    <w:rsid w:val="00BD79C3"/>
    <w:rsid w:val="00BE7A6D"/>
    <w:rsid w:val="00C10609"/>
    <w:rsid w:val="00C250AB"/>
    <w:rsid w:val="00C43774"/>
    <w:rsid w:val="00C45BFA"/>
    <w:rsid w:val="00C538D4"/>
    <w:rsid w:val="00C745AB"/>
    <w:rsid w:val="00C849F1"/>
    <w:rsid w:val="00C855F9"/>
    <w:rsid w:val="00C86FD7"/>
    <w:rsid w:val="00C91446"/>
    <w:rsid w:val="00C96A7A"/>
    <w:rsid w:val="00C97D41"/>
    <w:rsid w:val="00CC2072"/>
    <w:rsid w:val="00CC794D"/>
    <w:rsid w:val="00CD1CA1"/>
    <w:rsid w:val="00CD3BDB"/>
    <w:rsid w:val="00CD5DB1"/>
    <w:rsid w:val="00CD5DD1"/>
    <w:rsid w:val="00D00264"/>
    <w:rsid w:val="00D41E13"/>
    <w:rsid w:val="00D4399A"/>
    <w:rsid w:val="00D5334F"/>
    <w:rsid w:val="00D60672"/>
    <w:rsid w:val="00D62ACC"/>
    <w:rsid w:val="00DA18B3"/>
    <w:rsid w:val="00DB33C3"/>
    <w:rsid w:val="00DB4DA5"/>
    <w:rsid w:val="00DC64F9"/>
    <w:rsid w:val="00E036B8"/>
    <w:rsid w:val="00E12875"/>
    <w:rsid w:val="00E13F4D"/>
    <w:rsid w:val="00E45B1D"/>
    <w:rsid w:val="00E5112C"/>
    <w:rsid w:val="00E8033A"/>
    <w:rsid w:val="00E8640C"/>
    <w:rsid w:val="00EC6889"/>
    <w:rsid w:val="00ED1439"/>
    <w:rsid w:val="00F01DC2"/>
    <w:rsid w:val="00F75697"/>
    <w:rsid w:val="00F903FC"/>
    <w:rsid w:val="00F932C6"/>
    <w:rsid w:val="00FA5BEA"/>
    <w:rsid w:val="00FA6249"/>
    <w:rsid w:val="00FA62E1"/>
    <w:rsid w:val="00FC5B07"/>
    <w:rsid w:val="00FE1493"/>
    <w:rsid w:val="00FF3B89"/>
    <w:rsid w:val="1BBD4D61"/>
    <w:rsid w:val="3FDD2BE5"/>
    <w:rsid w:val="4FE6626E"/>
    <w:rsid w:val="66AA1575"/>
    <w:rsid w:val="762E5B5F"/>
    <w:rsid w:val="785066DD"/>
    <w:rsid w:val="79DBC1AE"/>
    <w:rsid w:val="7B9A2911"/>
    <w:rsid w:val="7FB96F71"/>
    <w:rsid w:val="BD3F3E58"/>
    <w:rsid w:val="EF31D906"/>
    <w:rsid w:val="F6BFE622"/>
    <w:rsid w:val="F7C177CF"/>
    <w:rsid w:val="F7EFFE8B"/>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Balloon Text"/>
    <w:basedOn w:val="1"/>
    <w:semiHidden/>
    <w:qFormat/>
    <w:uiPriority w:val="0"/>
    <w:rPr>
      <w:sz w:val="18"/>
      <w:szCs w:val="18"/>
    </w:rPr>
  </w:style>
  <w:style w:type="paragraph" w:styleId="3">
    <w:name w:val="footer"/>
    <w:basedOn w:val="1"/>
    <w:qFormat/>
    <w:uiPriority w:val="0"/>
    <w:pPr>
      <w:tabs>
        <w:tab w:val="center" w:pos="4153"/>
        <w:tab w:val="right" w:pos="8306"/>
      </w:tabs>
      <w:snapToGrid w:val="0"/>
      <w:jc w:val="left"/>
    </w:pPr>
    <w:rPr>
      <w:sz w:val="18"/>
      <w:szCs w:val="20"/>
    </w:rPr>
  </w:style>
  <w:style w:type="paragraph" w:styleId="4">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character" w:styleId="7">
    <w:name w:val="page number"/>
    <w:basedOn w:val="6"/>
    <w:qFormat/>
    <w:uiPriority w:val="0"/>
  </w:style>
  <w:style w:type="character" w:customStyle="1" w:styleId="8">
    <w:name w:val="页眉 Char"/>
    <w:basedOn w:val="6"/>
    <w:link w:val="4"/>
    <w:qFormat/>
    <w:uiPriority w:val="0"/>
    <w:rPr>
      <w:kern w:val="2"/>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a</Company>
  <Pages>4</Pages>
  <Words>2688</Words>
  <Characters>2715</Characters>
  <Lines>18</Lines>
  <Paragraphs>5</Paragraphs>
  <TotalTime>195</TotalTime>
  <ScaleCrop>false</ScaleCrop>
  <LinksUpToDate>false</LinksUpToDate>
  <CharactersWithSpaces>2859</CharactersWithSpaces>
  <Application>WPS Office_11.8.2.10251_F1E327BC-269C-435d-A152-05C5408002CA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2014-07-28T01:34:00Z</dcterms:created>
  <dc:creator>a</dc:creator>
  <cp:lastModifiedBy>金亚丽</cp:lastModifiedBy>
  <cp:lastPrinted>2014-08-24T00:50:00Z</cp:lastPrinted>
  <dcterms:modified xsi:type="dcterms:W3CDTF">2024-08-19T16:38:04Z</dcterms:modified>
  <dc:title>浙江省省级储备粮公开招标采购办法(试行)</dc:title>
  <cp:revision>61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2052-11.8.2.10251</vt:lpwstr>
  </property>
  <property fmtid="{D5CDD505-2E9C-101B-9397-08002B2CF9AE}" pid="3" name="ICV">
    <vt:lpwstr>C40A4A9FDA97447BBEF43AC883DA9BE0_12</vt:lpwstr>
  </property>
</Properties>
</file>