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84C0B">
      <w:pPr>
        <w:tabs>
          <w:tab w:val="left" w:pos="567"/>
        </w:tabs>
        <w:spacing w:line="460" w:lineRule="exact"/>
        <w:jc w:val="center"/>
        <w:rPr>
          <w:rFonts w:ascii="宋体" w:hAnsi="宋体"/>
          <w:b/>
          <w:sz w:val="32"/>
          <w:szCs w:val="32"/>
        </w:rPr>
      </w:pPr>
      <w:r>
        <w:rPr>
          <w:rFonts w:hint="eastAsia" w:ascii="宋体" w:hAnsi="宋体"/>
          <w:b/>
          <w:sz w:val="32"/>
          <w:szCs w:val="32"/>
        </w:rPr>
        <w:t>浙江绍兴市级储备油公开竞价采购粮油交割细则</w:t>
      </w:r>
    </w:p>
    <w:p w14:paraId="68A1ECB1">
      <w:pPr>
        <w:spacing w:line="460" w:lineRule="exact"/>
        <w:jc w:val="center"/>
        <w:rPr>
          <w:rFonts w:ascii="宋体" w:hAnsi="宋体"/>
          <w:b/>
          <w:sz w:val="32"/>
          <w:szCs w:val="32"/>
        </w:rPr>
      </w:pPr>
      <w:r>
        <w:rPr>
          <w:rFonts w:hint="eastAsia" w:ascii="宋体" w:hAnsi="宋体"/>
          <w:b/>
          <w:sz w:val="32"/>
          <w:szCs w:val="32"/>
        </w:rPr>
        <w:t>（国粮浙交</w:t>
      </w:r>
      <w:r>
        <w:rPr>
          <w:rFonts w:ascii="宋体" w:hAnsi="宋体"/>
          <w:b/>
          <w:sz w:val="32"/>
          <w:szCs w:val="32"/>
        </w:rPr>
        <w:t>20</w:t>
      </w:r>
      <w:r>
        <w:rPr>
          <w:rFonts w:hint="eastAsia" w:ascii="宋体" w:hAnsi="宋体"/>
          <w:b/>
          <w:sz w:val="32"/>
          <w:szCs w:val="32"/>
        </w:rPr>
        <w:t>25第</w:t>
      </w:r>
      <w:r>
        <w:rPr>
          <w:rFonts w:hint="eastAsia" w:ascii="宋体" w:hAnsi="宋体"/>
          <w:b/>
          <w:sz w:val="32"/>
          <w:szCs w:val="32"/>
          <w:lang w:val="en-US" w:eastAsia="zh-CN"/>
        </w:rPr>
        <w:t>869</w:t>
      </w:r>
      <w:r>
        <w:rPr>
          <w:rFonts w:hint="eastAsia" w:ascii="宋体" w:hAnsi="宋体"/>
          <w:b/>
          <w:sz w:val="32"/>
          <w:szCs w:val="32"/>
        </w:rPr>
        <w:t>号）</w:t>
      </w:r>
    </w:p>
    <w:p w14:paraId="0868B502">
      <w:pPr>
        <w:spacing w:line="360" w:lineRule="auto"/>
        <w:rPr>
          <w:rFonts w:hint="eastAsia" w:ascii="宋体" w:hAnsi="宋体"/>
          <w:sz w:val="24"/>
        </w:rPr>
      </w:pPr>
      <w:r>
        <w:rPr>
          <w:rFonts w:hint="eastAsia"/>
          <w:sz w:val="24"/>
        </w:rPr>
        <w:t>一、品种、</w:t>
      </w:r>
      <w:r>
        <w:rPr>
          <w:rFonts w:hint="eastAsia" w:ascii="宋体" w:hAnsi="宋体"/>
          <w:sz w:val="24"/>
        </w:rPr>
        <w:t>数量、质量及要求：</w:t>
      </w:r>
    </w:p>
    <w:p w14:paraId="327B3081">
      <w:pPr>
        <w:spacing w:line="360" w:lineRule="auto"/>
        <w:ind w:firstLine="480" w:firstLineChars="200"/>
        <w:rPr>
          <w:rFonts w:hint="eastAsia" w:ascii="宋体" w:hAnsi="宋体" w:cs="宋体"/>
          <w:sz w:val="24"/>
          <w:szCs w:val="32"/>
          <w:lang w:eastAsia="zh-CN"/>
        </w:rPr>
      </w:pPr>
      <w:r>
        <w:rPr>
          <w:rFonts w:hint="eastAsia" w:ascii="宋体" w:hAnsi="宋体" w:cs="宋体"/>
          <w:kern w:val="0"/>
          <w:sz w:val="24"/>
        </w:rPr>
        <w:t>1、品种及数量：</w:t>
      </w:r>
      <w:r>
        <w:rPr>
          <w:rFonts w:hint="eastAsia" w:ascii="宋体" w:hAnsi="宋体"/>
          <w:sz w:val="24"/>
        </w:rPr>
        <w:t>小包装一</w:t>
      </w:r>
      <w:r>
        <w:rPr>
          <w:rFonts w:hint="eastAsia" w:ascii="宋体" w:hAnsi="宋体" w:eastAsia="宋体" w:cs="Times New Roman"/>
          <w:sz w:val="24"/>
        </w:rPr>
        <w:t>级压榨非转基因</w:t>
      </w:r>
      <w:r>
        <w:rPr>
          <w:rFonts w:hint="eastAsia" w:ascii="宋体" w:hAnsi="宋体"/>
          <w:sz w:val="24"/>
        </w:rPr>
        <w:t>菜籽油</w:t>
      </w:r>
      <w:r>
        <w:rPr>
          <w:rFonts w:hint="eastAsia" w:ascii="宋体" w:hAnsi="宋体"/>
          <w:sz w:val="24"/>
          <w:lang w:val="en-US" w:eastAsia="zh-CN"/>
        </w:rPr>
        <w:t>200</w:t>
      </w:r>
      <w:r>
        <w:rPr>
          <w:rFonts w:hint="eastAsia" w:ascii="宋体" w:hAnsi="宋体"/>
          <w:sz w:val="24"/>
        </w:rPr>
        <w:t>吨（</w:t>
      </w:r>
      <w:r>
        <w:rPr>
          <w:rFonts w:hint="eastAsia" w:ascii="宋体" w:hAnsi="宋体"/>
          <w:sz w:val="24"/>
          <w:lang w:val="en-US" w:eastAsia="zh-CN"/>
        </w:rPr>
        <w:t>10870</w:t>
      </w:r>
      <w:r>
        <w:rPr>
          <w:rFonts w:hint="eastAsia" w:ascii="宋体" w:hAnsi="宋体"/>
          <w:sz w:val="24"/>
        </w:rPr>
        <w:t>箱、每箱5升*4瓶</w:t>
      </w:r>
      <w:r>
        <w:rPr>
          <w:rFonts w:hint="eastAsia" w:ascii="宋体" w:hAnsi="宋体"/>
          <w:sz w:val="24"/>
          <w:lang w:eastAsia="zh-CN"/>
        </w:rPr>
        <w:t>，</w:t>
      </w:r>
      <w:r>
        <w:rPr>
          <w:rFonts w:hint="eastAsia" w:ascii="宋体" w:hAnsi="宋体" w:cs="宋体"/>
          <w:kern w:val="0"/>
          <w:sz w:val="24"/>
        </w:rPr>
        <w:t>相对密度按0.920计算</w:t>
      </w:r>
      <w:r>
        <w:rPr>
          <w:rFonts w:hint="eastAsia" w:ascii="宋体" w:hAnsi="宋体"/>
          <w:sz w:val="24"/>
        </w:rPr>
        <w:t>），设1个标段，详见交易清单</w:t>
      </w:r>
      <w:r>
        <w:rPr>
          <w:rFonts w:hint="eastAsia" w:ascii="宋体" w:hAnsi="宋体" w:cs="宋体"/>
          <w:sz w:val="24"/>
          <w:szCs w:val="32"/>
        </w:rPr>
        <w:t>；</w:t>
      </w:r>
      <w:r>
        <w:rPr>
          <w:rFonts w:hint="eastAsia" w:ascii="宋体" w:hAnsi="宋体" w:cs="宋体"/>
          <w:color w:val="333333"/>
          <w:sz w:val="24"/>
        </w:rPr>
        <w:t>需另加</w:t>
      </w:r>
      <w:r>
        <w:rPr>
          <w:rFonts w:hint="eastAsia" w:ascii="宋体" w:hAnsi="宋体" w:cs="宋体"/>
          <w:color w:val="333333"/>
          <w:sz w:val="24"/>
          <w:lang w:val="en-US" w:eastAsia="zh-CN"/>
        </w:rPr>
        <w:t>3</w:t>
      </w:r>
      <w:r>
        <w:rPr>
          <w:rFonts w:hint="eastAsia" w:ascii="宋体" w:hAnsi="宋体" w:cs="宋体"/>
          <w:color w:val="333333"/>
          <w:sz w:val="24"/>
        </w:rPr>
        <w:t>箱送第三方质检机构检测备用（不计价）。</w:t>
      </w:r>
    </w:p>
    <w:p w14:paraId="37660762">
      <w:pPr>
        <w:spacing w:line="360" w:lineRule="auto"/>
        <w:ind w:firstLine="480" w:firstLineChars="200"/>
        <w:rPr>
          <w:rFonts w:hint="eastAsia" w:ascii="宋体" w:hAnsi="宋体" w:cs="Courier New"/>
          <w:kern w:val="0"/>
          <w:sz w:val="24"/>
        </w:rPr>
      </w:pPr>
      <w:r>
        <w:rPr>
          <w:rFonts w:hint="eastAsia" w:ascii="宋体" w:hAnsi="宋体" w:cs="Courier New"/>
          <w:kern w:val="0"/>
          <w:sz w:val="24"/>
        </w:rPr>
        <w:t>2、质量要求：质量指标符合GB/T1536-2021《菜籽油》一级标准；储存品质为宜存；卫生指标符合GB2716-2018食品安全国家标准限量规定。</w:t>
      </w:r>
    </w:p>
    <w:p w14:paraId="64D6369A">
      <w:pPr>
        <w:spacing w:line="360" w:lineRule="auto"/>
        <w:ind w:firstLine="480" w:firstLineChars="200"/>
        <w:rPr>
          <w:rFonts w:hint="eastAsia" w:ascii="宋体" w:hAnsi="宋体" w:cs="Courier New"/>
          <w:kern w:val="0"/>
          <w:sz w:val="24"/>
        </w:rPr>
      </w:pPr>
      <w:r>
        <w:rPr>
          <w:rFonts w:hint="eastAsia" w:ascii="宋体" w:hAnsi="宋体" w:cs="Courier New"/>
          <w:kern w:val="0"/>
          <w:sz w:val="24"/>
        </w:rPr>
        <w:t>3、要求：入库的小包装</w:t>
      </w:r>
      <w:r>
        <w:rPr>
          <w:rFonts w:hint="eastAsia" w:ascii="宋体" w:hAnsi="宋体" w:cs="Courier New"/>
          <w:kern w:val="0"/>
          <w:sz w:val="24"/>
          <w:lang w:val="en-US" w:eastAsia="zh-CN"/>
        </w:rPr>
        <w:t>菜籽</w:t>
      </w:r>
      <w:r>
        <w:rPr>
          <w:rFonts w:hint="eastAsia" w:ascii="宋体" w:hAnsi="宋体" w:cs="Courier New"/>
          <w:kern w:val="0"/>
          <w:sz w:val="24"/>
          <w:lang w:eastAsia="zh-CN"/>
        </w:rPr>
        <w:t>油</w:t>
      </w:r>
      <w:r>
        <w:rPr>
          <w:rFonts w:hint="eastAsia" w:ascii="宋体" w:hAnsi="宋体" w:cs="Courier New"/>
          <w:kern w:val="0"/>
          <w:sz w:val="24"/>
        </w:rPr>
        <w:t>须为</w:t>
      </w:r>
      <w:r>
        <w:rPr>
          <w:rFonts w:hint="eastAsia" w:ascii="宋体" w:hAnsi="宋体" w:cs="Courier New"/>
          <w:kern w:val="0"/>
          <w:sz w:val="24"/>
          <w:lang w:val="en-US" w:eastAsia="zh-CN"/>
        </w:rPr>
        <w:t>10月27日后</w:t>
      </w:r>
      <w:r>
        <w:rPr>
          <w:rFonts w:hint="eastAsia" w:ascii="宋体" w:hAnsi="宋体" w:cs="Courier New"/>
          <w:kern w:val="0"/>
          <w:sz w:val="24"/>
        </w:rPr>
        <w:t>加工的产品，保质期18个月。包装物及标签符合国家标准及有关规定，</w:t>
      </w:r>
      <w:r>
        <w:rPr>
          <w:rFonts w:hint="eastAsia" w:ascii="宋体" w:hAnsi="宋体" w:cs="Courier New"/>
          <w:kern w:val="0"/>
          <w:sz w:val="24"/>
          <w:lang w:val="en-US" w:eastAsia="zh-CN"/>
        </w:rPr>
        <w:t>同一标段须同一日期生产或同一批次生产（提供证明），且同一标段</w:t>
      </w:r>
      <w:r>
        <w:rPr>
          <w:rFonts w:hint="eastAsia" w:ascii="宋体" w:hAnsi="宋体" w:cs="Courier New"/>
          <w:kern w:val="0"/>
          <w:sz w:val="24"/>
        </w:rPr>
        <w:t>品牌及包装须相同。</w:t>
      </w:r>
    </w:p>
    <w:p w14:paraId="4BDEA08F">
      <w:pPr>
        <w:spacing w:line="360" w:lineRule="auto"/>
        <w:ind w:left="360" w:hanging="360" w:hangingChars="150"/>
        <w:rPr>
          <w:rFonts w:hint="eastAsia" w:ascii="宋体" w:hAnsi="宋体"/>
          <w:sz w:val="24"/>
        </w:rPr>
      </w:pPr>
      <w:r>
        <w:rPr>
          <w:rFonts w:hint="eastAsia" w:ascii="宋体" w:hAnsi="宋体"/>
          <w:kern w:val="0"/>
          <w:sz w:val="24"/>
        </w:rPr>
        <w:t xml:space="preserve">    二、</w:t>
      </w:r>
      <w:r>
        <w:rPr>
          <w:rFonts w:hint="eastAsia" w:ascii="宋体" w:hAnsi="宋体"/>
          <w:sz w:val="24"/>
        </w:rPr>
        <w:t>交货</w:t>
      </w:r>
      <w:r>
        <w:rPr>
          <w:rFonts w:hint="eastAsia" w:ascii="宋体" w:hAnsi="宋体"/>
          <w:sz w:val="24"/>
          <w:lang w:val="en-US" w:eastAsia="zh-CN"/>
        </w:rPr>
        <w:t>地点、</w:t>
      </w:r>
      <w:r>
        <w:rPr>
          <w:rFonts w:hint="eastAsia" w:ascii="宋体" w:hAnsi="宋体"/>
          <w:sz w:val="24"/>
        </w:rPr>
        <w:t>时间、方式及验收</w:t>
      </w:r>
      <w:r>
        <w:rPr>
          <w:rFonts w:hint="eastAsia" w:ascii="宋体" w:hAnsi="宋体" w:cs="宋体"/>
          <w:kern w:val="0"/>
          <w:sz w:val="24"/>
        </w:rPr>
        <w:t>办法</w:t>
      </w:r>
      <w:r>
        <w:rPr>
          <w:rFonts w:hint="eastAsia" w:ascii="宋体" w:hAnsi="宋体"/>
          <w:sz w:val="24"/>
        </w:rPr>
        <w:t>：</w:t>
      </w:r>
    </w:p>
    <w:p w14:paraId="19EB850C">
      <w:pPr>
        <w:spacing w:line="360" w:lineRule="auto"/>
        <w:ind w:left="360" w:hanging="360" w:hangingChars="150"/>
        <w:rPr>
          <w:rFonts w:hint="default" w:ascii="宋体" w:hAnsi="宋体" w:eastAsia="宋体"/>
          <w:sz w:val="24"/>
          <w:lang w:val="en-US" w:eastAsia="zh-CN"/>
        </w:rPr>
      </w:pPr>
      <w:r>
        <w:rPr>
          <w:rFonts w:hint="eastAsia" w:ascii="宋体" w:hAnsi="宋体"/>
          <w:sz w:val="24"/>
          <w:lang w:val="en-US" w:eastAsia="zh-CN"/>
        </w:rPr>
        <w:t xml:space="preserve">    </w:t>
      </w:r>
      <w:r>
        <w:rPr>
          <w:rFonts w:hint="eastAsia" w:ascii="宋体" w:hAnsi="宋体"/>
          <w:sz w:val="24"/>
        </w:rPr>
        <w:t>1、</w:t>
      </w:r>
      <w:r>
        <w:rPr>
          <w:rFonts w:hint="eastAsia" w:ascii="宋体" w:hAnsi="宋体"/>
          <w:sz w:val="24"/>
          <w:lang w:val="en-US" w:eastAsia="zh-CN"/>
        </w:rPr>
        <w:t>交货地点：上虞区粮食和物资保障中心成品仓（代储库点）。</w:t>
      </w:r>
    </w:p>
    <w:p w14:paraId="4880F2A6">
      <w:pPr>
        <w:adjustRightInd w:val="0"/>
        <w:snapToGrid w:val="0"/>
        <w:spacing w:line="360" w:lineRule="auto"/>
        <w:ind w:firstLine="480"/>
        <w:rPr>
          <w:rFonts w:hint="eastAsia" w:ascii="宋体" w:hAnsi="宋体"/>
          <w:kern w:val="0"/>
          <w:sz w:val="24"/>
        </w:rPr>
      </w:pPr>
      <w:r>
        <w:rPr>
          <w:rFonts w:hint="eastAsia" w:ascii="宋体" w:hAnsi="宋体"/>
          <w:sz w:val="24"/>
          <w:lang w:val="en-US" w:eastAsia="zh-CN"/>
        </w:rPr>
        <w:t>2</w:t>
      </w:r>
      <w:r>
        <w:rPr>
          <w:rFonts w:hint="eastAsia" w:ascii="宋体" w:hAnsi="宋体"/>
          <w:sz w:val="24"/>
        </w:rPr>
        <w:t>、</w:t>
      </w:r>
      <w:r>
        <w:rPr>
          <w:rFonts w:hint="eastAsia" w:ascii="宋体" w:hAnsi="宋体"/>
          <w:kern w:val="0"/>
          <w:sz w:val="24"/>
        </w:rPr>
        <w:t>交货时间：</w:t>
      </w:r>
      <w:r>
        <w:rPr>
          <w:rFonts w:hint="eastAsia" w:ascii="宋体" w:hAnsi="宋体"/>
          <w:b/>
          <w:bCs/>
          <w:color w:val="FF0000"/>
          <w:kern w:val="0"/>
          <w:sz w:val="24"/>
        </w:rPr>
        <w:t>202</w:t>
      </w:r>
      <w:r>
        <w:rPr>
          <w:rFonts w:hint="eastAsia" w:ascii="宋体" w:hAnsi="宋体"/>
          <w:b/>
          <w:bCs/>
          <w:color w:val="FF0000"/>
          <w:kern w:val="0"/>
          <w:sz w:val="24"/>
          <w:lang w:val="en-US" w:eastAsia="zh-CN"/>
        </w:rPr>
        <w:t>5</w:t>
      </w:r>
      <w:r>
        <w:rPr>
          <w:rFonts w:hint="eastAsia" w:ascii="宋体" w:hAnsi="宋体"/>
          <w:b/>
          <w:bCs/>
          <w:color w:val="FF0000"/>
          <w:kern w:val="0"/>
          <w:sz w:val="24"/>
        </w:rPr>
        <w:t>年</w:t>
      </w:r>
      <w:r>
        <w:rPr>
          <w:rFonts w:hint="eastAsia" w:ascii="宋体" w:hAnsi="宋体"/>
          <w:b/>
          <w:bCs/>
          <w:color w:val="FF0000"/>
          <w:kern w:val="0"/>
          <w:sz w:val="24"/>
          <w:lang w:val="en-US" w:eastAsia="zh-CN"/>
        </w:rPr>
        <w:t>11</w:t>
      </w:r>
      <w:r>
        <w:rPr>
          <w:rFonts w:hint="eastAsia" w:ascii="宋体" w:hAnsi="宋体"/>
          <w:b/>
          <w:bCs/>
          <w:color w:val="FF0000"/>
          <w:kern w:val="0"/>
          <w:sz w:val="24"/>
        </w:rPr>
        <w:t>月</w:t>
      </w:r>
      <w:r>
        <w:rPr>
          <w:rFonts w:hint="eastAsia" w:ascii="宋体" w:hAnsi="宋体"/>
          <w:b/>
          <w:bCs/>
          <w:color w:val="FF0000"/>
          <w:kern w:val="0"/>
          <w:sz w:val="24"/>
          <w:lang w:val="en-US" w:eastAsia="zh-CN"/>
        </w:rPr>
        <w:t>9</w:t>
      </w:r>
      <w:r>
        <w:rPr>
          <w:rFonts w:hint="eastAsia" w:ascii="宋体" w:hAnsi="宋体"/>
          <w:b/>
          <w:bCs/>
          <w:color w:val="FF0000"/>
          <w:kern w:val="0"/>
          <w:sz w:val="24"/>
        </w:rPr>
        <w:t>日前</w:t>
      </w:r>
      <w:r>
        <w:rPr>
          <w:rFonts w:hint="eastAsia" w:ascii="宋体" w:hAnsi="宋体"/>
          <w:kern w:val="0"/>
          <w:sz w:val="24"/>
        </w:rPr>
        <w:t>完成入库。</w:t>
      </w:r>
    </w:p>
    <w:p w14:paraId="75F86D40">
      <w:pPr>
        <w:adjustRightInd w:val="0"/>
        <w:snapToGrid w:val="0"/>
        <w:spacing w:line="360" w:lineRule="auto"/>
        <w:ind w:firstLine="480"/>
        <w:rPr>
          <w:rFonts w:hint="default" w:eastAsia="宋体"/>
          <w:sz w:val="24"/>
          <w:lang w:val="en-US" w:eastAsia="zh-CN"/>
        </w:rPr>
      </w:pPr>
      <w:r>
        <w:rPr>
          <w:rFonts w:hint="eastAsia" w:ascii="宋体" w:hAnsi="宋体"/>
          <w:sz w:val="24"/>
          <w:lang w:val="en-US" w:eastAsia="zh-CN"/>
        </w:rPr>
        <w:t>3</w:t>
      </w:r>
      <w:r>
        <w:rPr>
          <w:rFonts w:hint="eastAsia" w:ascii="宋体" w:hAnsi="宋体"/>
          <w:sz w:val="24"/>
        </w:rPr>
        <w:t>、</w:t>
      </w:r>
      <w:r>
        <w:rPr>
          <w:rFonts w:hint="eastAsia" w:ascii="宋体" w:hAnsi="宋体"/>
          <w:kern w:val="0"/>
          <w:sz w:val="24"/>
        </w:rPr>
        <w:t>交货</w:t>
      </w:r>
      <w:r>
        <w:rPr>
          <w:rFonts w:hint="eastAsia"/>
          <w:sz w:val="24"/>
        </w:rPr>
        <w:t>方式：实行送货制，由竞得方</w:t>
      </w:r>
      <w:r>
        <w:rPr>
          <w:rFonts w:hint="eastAsia"/>
          <w:sz w:val="24"/>
          <w:lang w:val="en-US" w:eastAsia="zh-CN"/>
        </w:rPr>
        <w:t>用货车运至</w:t>
      </w:r>
      <w:r>
        <w:rPr>
          <w:rFonts w:hint="eastAsia" w:ascii="宋体" w:hAnsi="宋体"/>
          <w:sz w:val="24"/>
          <w:lang w:val="en-US" w:eastAsia="zh-CN"/>
        </w:rPr>
        <w:t>上虞区粮食和物资保障中心成品仓</w:t>
      </w:r>
      <w:r>
        <w:rPr>
          <w:rFonts w:hint="eastAsia"/>
          <w:sz w:val="24"/>
          <w:lang w:val="en-US" w:eastAsia="zh-CN"/>
        </w:rPr>
        <w:t>，在入库作业中出现的包装破损应及时更换。</w:t>
      </w:r>
    </w:p>
    <w:p w14:paraId="462FF7B3">
      <w:pPr>
        <w:spacing w:line="360" w:lineRule="auto"/>
        <w:ind w:firstLine="480" w:firstLineChars="200"/>
        <w:rPr>
          <w:rFonts w:hint="eastAsia" w:ascii="宋体" w:hAnsi="宋体" w:eastAsia="宋体"/>
          <w:snapToGrid w:val="0"/>
          <w:kern w:val="0"/>
          <w:sz w:val="24"/>
          <w:lang w:eastAsia="zh-CN"/>
        </w:rPr>
      </w:pPr>
      <w:r>
        <w:rPr>
          <w:rFonts w:hint="eastAsia" w:ascii="宋体" w:hAnsi="宋体"/>
          <w:snapToGrid w:val="0"/>
          <w:kern w:val="0"/>
          <w:sz w:val="24"/>
          <w:lang w:val="en-US" w:eastAsia="zh-CN"/>
        </w:rPr>
        <w:t>4</w:t>
      </w:r>
      <w:r>
        <w:rPr>
          <w:rFonts w:hint="eastAsia" w:ascii="宋体" w:hAnsi="宋体"/>
          <w:snapToGrid w:val="0"/>
          <w:kern w:val="0"/>
          <w:sz w:val="24"/>
        </w:rPr>
        <w:t>、验收办法：（1）数量验收：入库数量由入库地仓内点件入库为准，双方</w:t>
      </w:r>
      <w:bookmarkStart w:id="0" w:name="_GoBack"/>
      <w:bookmarkEnd w:id="0"/>
      <w:r>
        <w:rPr>
          <w:rFonts w:hint="eastAsia" w:ascii="宋体" w:hAnsi="宋体"/>
          <w:snapToGrid w:val="0"/>
          <w:kern w:val="0"/>
          <w:sz w:val="24"/>
        </w:rPr>
        <w:t>应认真清点小包装</w:t>
      </w:r>
      <w:r>
        <w:rPr>
          <w:rFonts w:hint="eastAsia" w:ascii="宋体" w:hAnsi="宋体"/>
          <w:snapToGrid w:val="0"/>
          <w:kern w:val="0"/>
          <w:sz w:val="24"/>
          <w:lang w:val="en-US" w:eastAsia="zh-CN"/>
        </w:rPr>
        <w:t>菜籽</w:t>
      </w:r>
      <w:r>
        <w:rPr>
          <w:rFonts w:hint="eastAsia" w:ascii="宋体" w:hAnsi="宋体"/>
          <w:snapToGrid w:val="0"/>
          <w:kern w:val="0"/>
          <w:sz w:val="24"/>
          <w:lang w:eastAsia="zh-CN"/>
        </w:rPr>
        <w:t>油</w:t>
      </w:r>
      <w:r>
        <w:rPr>
          <w:rFonts w:hint="eastAsia" w:ascii="宋体" w:hAnsi="宋体"/>
          <w:snapToGrid w:val="0"/>
          <w:kern w:val="0"/>
          <w:sz w:val="24"/>
        </w:rPr>
        <w:t>数量及抽样开箱检验，检查包装是否完好，必要时进行过磅校验。（2）质量验收：小包装</w:t>
      </w:r>
      <w:r>
        <w:rPr>
          <w:rFonts w:hint="eastAsia" w:ascii="宋体" w:hAnsi="宋体"/>
          <w:snapToGrid w:val="0"/>
          <w:kern w:val="0"/>
          <w:sz w:val="24"/>
          <w:lang w:val="en-US" w:eastAsia="zh-CN"/>
        </w:rPr>
        <w:t>菜籽</w:t>
      </w:r>
      <w:r>
        <w:rPr>
          <w:rFonts w:hint="eastAsia" w:ascii="宋体" w:hAnsi="宋体"/>
          <w:snapToGrid w:val="0"/>
          <w:kern w:val="0"/>
          <w:sz w:val="24"/>
          <w:lang w:eastAsia="zh-CN"/>
        </w:rPr>
        <w:t>油</w:t>
      </w:r>
      <w:r>
        <w:rPr>
          <w:rFonts w:hint="eastAsia" w:ascii="宋体" w:hAnsi="宋体"/>
          <w:snapToGrid w:val="0"/>
          <w:kern w:val="0"/>
          <w:sz w:val="24"/>
        </w:rPr>
        <w:t>入库前竞得方需提供出具本批次小包装</w:t>
      </w:r>
      <w:r>
        <w:rPr>
          <w:rFonts w:hint="eastAsia" w:ascii="宋体" w:hAnsi="宋体"/>
          <w:snapToGrid w:val="0"/>
          <w:kern w:val="0"/>
          <w:sz w:val="24"/>
          <w:lang w:val="en-US" w:eastAsia="zh-CN"/>
        </w:rPr>
        <w:t>菜籽</w:t>
      </w:r>
      <w:r>
        <w:rPr>
          <w:rFonts w:hint="eastAsia" w:ascii="宋体" w:hAnsi="宋体"/>
          <w:snapToGrid w:val="0"/>
          <w:kern w:val="0"/>
          <w:sz w:val="24"/>
          <w:lang w:eastAsia="zh-CN"/>
        </w:rPr>
        <w:t>油</w:t>
      </w:r>
      <w:r>
        <w:rPr>
          <w:rFonts w:hint="eastAsia" w:ascii="宋体" w:hAnsi="宋体"/>
          <w:snapToGrid w:val="0"/>
          <w:kern w:val="0"/>
          <w:sz w:val="24"/>
        </w:rPr>
        <w:t>的检验报告、产品合格证；油品质量</w:t>
      </w:r>
      <w:r>
        <w:rPr>
          <w:rFonts w:hint="eastAsia" w:ascii="宋体" w:hAnsi="宋体"/>
          <w:snapToGrid w:val="0"/>
          <w:kern w:val="0"/>
          <w:sz w:val="24"/>
          <w:lang w:val="en-US" w:eastAsia="zh-CN"/>
        </w:rPr>
        <w:t>、</w:t>
      </w:r>
      <w:r>
        <w:rPr>
          <w:rFonts w:hint="eastAsia" w:ascii="宋体" w:hAnsi="宋体"/>
          <w:snapToGrid w:val="0"/>
          <w:kern w:val="0"/>
          <w:sz w:val="24"/>
        </w:rPr>
        <w:t>卫生的检验结果以委托方委托的有资质质检部门检验为准，质量未达委托方要求的，视作竞得方违约，竞得方须在质量检测报告签发日起</w:t>
      </w:r>
      <w:r>
        <w:rPr>
          <w:rFonts w:hint="eastAsia" w:ascii="宋体" w:hAnsi="宋体"/>
          <w:snapToGrid w:val="0"/>
          <w:kern w:val="0"/>
          <w:sz w:val="24"/>
          <w:lang w:val="en-US" w:eastAsia="zh-CN"/>
        </w:rPr>
        <w:t>3</w:t>
      </w:r>
      <w:r>
        <w:rPr>
          <w:rFonts w:hint="eastAsia" w:ascii="宋体" w:hAnsi="宋体"/>
          <w:snapToGrid w:val="0"/>
          <w:kern w:val="0"/>
          <w:sz w:val="24"/>
        </w:rPr>
        <w:t>个工作日内自行处理已供</w:t>
      </w:r>
      <w:r>
        <w:rPr>
          <w:rFonts w:hint="eastAsia" w:ascii="宋体" w:hAnsi="宋体"/>
          <w:snapToGrid w:val="0"/>
          <w:kern w:val="0"/>
          <w:sz w:val="24"/>
          <w:lang w:val="en-US" w:eastAsia="zh-CN"/>
        </w:rPr>
        <w:t>菜籽</w:t>
      </w:r>
      <w:r>
        <w:rPr>
          <w:rFonts w:hint="eastAsia" w:ascii="宋体" w:hAnsi="宋体"/>
          <w:snapToGrid w:val="0"/>
          <w:kern w:val="0"/>
          <w:sz w:val="24"/>
          <w:lang w:eastAsia="zh-CN"/>
        </w:rPr>
        <w:t>油</w:t>
      </w:r>
      <w:r>
        <w:rPr>
          <w:rFonts w:hint="eastAsia" w:ascii="宋体" w:hAnsi="宋体"/>
          <w:snapToGrid w:val="0"/>
          <w:kern w:val="0"/>
          <w:sz w:val="24"/>
        </w:rPr>
        <w:t>，由此产生的一切损失由竞得方承担，且竞得方的履约保证金须全额赔付给委托方。</w:t>
      </w:r>
    </w:p>
    <w:p w14:paraId="18A93E93">
      <w:pPr>
        <w:spacing w:line="480" w:lineRule="exact"/>
        <w:ind w:firstLine="480" w:firstLineChars="200"/>
        <w:rPr>
          <w:rFonts w:hint="eastAsia" w:ascii="宋体" w:hAnsi="宋体" w:eastAsia="宋体"/>
          <w:sz w:val="24"/>
          <w:lang w:eastAsia="zh-CN"/>
        </w:rPr>
      </w:pPr>
      <w:r>
        <w:rPr>
          <w:rFonts w:hint="eastAsia" w:ascii="宋体" w:hAnsi="宋体"/>
          <w:sz w:val="24"/>
        </w:rPr>
        <w:t>三、货款结算办法：</w:t>
      </w:r>
      <w:r>
        <w:rPr>
          <w:rFonts w:hint="eastAsia" w:ascii="宋体" w:hAnsi="宋体"/>
          <w:sz w:val="24"/>
          <w:lang w:val="en-US" w:eastAsia="zh-CN"/>
        </w:rPr>
        <w:t>菜籽</w:t>
      </w:r>
      <w:r>
        <w:rPr>
          <w:rFonts w:hint="eastAsia" w:ascii="宋体" w:hAnsi="宋体"/>
          <w:sz w:val="24"/>
          <w:lang w:eastAsia="zh-CN"/>
        </w:rPr>
        <w:t>油</w:t>
      </w:r>
      <w:r>
        <w:rPr>
          <w:rFonts w:hint="eastAsia" w:ascii="宋体" w:hAnsi="宋体"/>
          <w:sz w:val="24"/>
          <w:lang w:val="en-US" w:eastAsia="zh-CN"/>
        </w:rPr>
        <w:t>入库后经</w:t>
      </w:r>
      <w:r>
        <w:rPr>
          <w:rFonts w:hint="eastAsia" w:ascii="宋体" w:hAnsi="宋体" w:eastAsia="宋体" w:cs="宋体"/>
          <w:i w:val="0"/>
          <w:iCs w:val="0"/>
          <w:caps w:val="0"/>
          <w:color w:val="000000"/>
          <w:spacing w:val="0"/>
          <w:sz w:val="24"/>
          <w:szCs w:val="24"/>
        </w:rPr>
        <w:t>浙江省内具由CMA认证资质的粮油检测机构</w:t>
      </w:r>
      <w:r>
        <w:rPr>
          <w:rFonts w:hint="eastAsia" w:ascii="宋体" w:hAnsi="宋体" w:eastAsia="宋体" w:cs="宋体"/>
          <w:i w:val="0"/>
          <w:iCs w:val="0"/>
          <w:caps w:val="0"/>
          <w:color w:val="000000"/>
          <w:spacing w:val="0"/>
          <w:sz w:val="24"/>
          <w:szCs w:val="24"/>
          <w:lang w:val="en-US" w:eastAsia="zh-CN"/>
        </w:rPr>
        <w:t>对质量进行满仓鉴定且</w:t>
      </w:r>
      <w:r>
        <w:rPr>
          <w:rFonts w:hint="eastAsia" w:ascii="宋体" w:hAnsi="宋体" w:eastAsia="宋体" w:cs="宋体"/>
          <w:i w:val="0"/>
          <w:iCs w:val="0"/>
          <w:caps w:val="0"/>
          <w:color w:val="000000"/>
          <w:spacing w:val="0"/>
          <w:sz w:val="24"/>
          <w:szCs w:val="24"/>
        </w:rPr>
        <w:t>符合</w:t>
      </w:r>
      <w:r>
        <w:rPr>
          <w:rFonts w:hint="eastAsia" w:ascii="宋体" w:hAnsi="宋体" w:eastAsia="宋体" w:cs="宋体"/>
          <w:i w:val="0"/>
          <w:iCs w:val="0"/>
          <w:caps w:val="0"/>
          <w:color w:val="000000"/>
          <w:spacing w:val="0"/>
          <w:sz w:val="24"/>
          <w:szCs w:val="24"/>
          <w:lang w:val="en-US" w:eastAsia="zh-CN"/>
        </w:rPr>
        <w:t>质量</w:t>
      </w:r>
      <w:r>
        <w:rPr>
          <w:rFonts w:hint="eastAsia" w:ascii="宋体" w:hAnsi="宋体" w:eastAsia="宋体" w:cs="宋体"/>
          <w:i w:val="0"/>
          <w:iCs w:val="0"/>
          <w:caps w:val="0"/>
          <w:color w:val="000000"/>
          <w:spacing w:val="0"/>
          <w:sz w:val="24"/>
          <w:szCs w:val="24"/>
        </w:rPr>
        <w:t>要求的（检测费由需方承担）</w:t>
      </w:r>
      <w:r>
        <w:rPr>
          <w:rFonts w:hint="eastAsia" w:ascii="宋体" w:hAnsi="宋体"/>
          <w:sz w:val="24"/>
        </w:rPr>
        <w:t>，</w:t>
      </w:r>
      <w:r>
        <w:rPr>
          <w:rFonts w:hint="eastAsia" w:ascii="宋体" w:hAnsi="宋体" w:eastAsia="宋体" w:cs="Times New Roman"/>
          <w:sz w:val="24"/>
        </w:rPr>
        <w:t>竞得方凭相关验收凭证</w:t>
      </w:r>
      <w:r>
        <w:rPr>
          <w:rFonts w:hint="eastAsia" w:ascii="宋体" w:hAnsi="宋体" w:eastAsia="宋体" w:cs="Times New Roman"/>
          <w:sz w:val="24"/>
          <w:lang w:val="en-US" w:eastAsia="zh-CN"/>
        </w:rPr>
        <w:t>和</w:t>
      </w:r>
      <w:r>
        <w:rPr>
          <w:rFonts w:hint="eastAsia" w:ascii="宋体" w:hAnsi="宋体" w:eastAsia="宋体" w:cs="Times New Roman"/>
          <w:sz w:val="24"/>
        </w:rPr>
        <w:t>正式发票向委托方结算货款</w:t>
      </w:r>
      <w:r>
        <w:rPr>
          <w:rFonts w:hint="eastAsia" w:ascii="宋体" w:hAnsi="宋体" w:eastAsia="宋体" w:cs="Times New Roman"/>
          <w:sz w:val="24"/>
          <w:lang w:eastAsia="zh-CN"/>
        </w:rPr>
        <w:t>（</w:t>
      </w:r>
      <w:r>
        <w:rPr>
          <w:rFonts w:hint="eastAsia" w:ascii="宋体" w:hAnsi="宋体" w:eastAsia="宋体" w:cs="Times New Roman"/>
          <w:sz w:val="24"/>
          <w:lang w:val="en-US" w:eastAsia="zh-CN"/>
        </w:rPr>
        <w:t>农发行资金到位后三个工作日支付）</w:t>
      </w:r>
      <w:r>
        <w:rPr>
          <w:rFonts w:hint="eastAsia" w:ascii="宋体" w:hAnsi="宋体" w:eastAsia="宋体" w:cs="Times New Roman"/>
          <w:sz w:val="24"/>
        </w:rPr>
        <w:t>。</w:t>
      </w:r>
    </w:p>
    <w:p w14:paraId="067B2EC9">
      <w:pPr>
        <w:spacing w:line="360" w:lineRule="auto"/>
        <w:ind w:firstLine="480" w:firstLineChars="200"/>
        <w:rPr>
          <w:rFonts w:hint="eastAsia" w:ascii="宋体" w:hAnsi="宋体" w:cs="宋体"/>
          <w:sz w:val="24"/>
          <w:szCs w:val="32"/>
          <w:lang w:eastAsia="zh-CN"/>
        </w:rPr>
      </w:pPr>
      <w:r>
        <w:rPr>
          <w:rFonts w:hint="eastAsia" w:ascii="宋体" w:hAnsi="宋体"/>
          <w:sz w:val="24"/>
        </w:rPr>
        <w:t>四、有关事项</w:t>
      </w:r>
    </w:p>
    <w:p w14:paraId="12BA783E">
      <w:pPr>
        <w:spacing w:line="360" w:lineRule="auto"/>
        <w:ind w:firstLine="480" w:firstLineChars="200"/>
        <w:rPr>
          <w:rFonts w:hint="eastAsia" w:ascii="宋体" w:hAnsi="宋体" w:cs="宋体"/>
          <w:sz w:val="24"/>
          <w:lang w:eastAsia="zh-CN"/>
        </w:rPr>
      </w:pPr>
      <w:r>
        <w:rPr>
          <w:rFonts w:hint="eastAsia" w:ascii="宋体" w:hAnsi="宋体" w:eastAsia="宋体" w:cs="宋体"/>
          <w:sz w:val="24"/>
          <w:lang w:val="en-US" w:eastAsia="zh-CN"/>
        </w:rPr>
        <w:t>1</w:t>
      </w:r>
      <w:r>
        <w:rPr>
          <w:rFonts w:hint="eastAsia" w:ascii="宋体" w:hAnsi="宋体" w:eastAsia="宋体" w:cs="宋体"/>
          <w:sz w:val="24"/>
        </w:rPr>
        <w:t>、</w:t>
      </w:r>
      <w:r>
        <w:rPr>
          <w:rFonts w:hint="eastAsia" w:ascii="宋体" w:hAnsi="宋体" w:eastAsia="宋体" w:cs="宋体"/>
          <w:sz w:val="24"/>
          <w:lang w:eastAsia="zh-CN"/>
        </w:rPr>
        <w:t>竞得</w:t>
      </w:r>
      <w:r>
        <w:rPr>
          <w:rFonts w:hint="eastAsia" w:ascii="宋体" w:hAnsi="宋体" w:eastAsia="宋体" w:cs="宋体"/>
          <w:sz w:val="24"/>
        </w:rPr>
        <w:t>后</w:t>
      </w:r>
      <w:r>
        <w:rPr>
          <w:rFonts w:hint="eastAsia" w:ascii="宋体" w:hAnsi="宋体" w:eastAsia="宋体" w:cs="宋体"/>
          <w:sz w:val="24"/>
          <w:lang w:val="en-US" w:eastAsia="zh-CN"/>
        </w:rPr>
        <w:t>三</w:t>
      </w:r>
      <w:r>
        <w:rPr>
          <w:rFonts w:hint="eastAsia" w:ascii="宋体" w:hAnsi="宋体" w:eastAsia="宋体" w:cs="宋体"/>
          <w:sz w:val="24"/>
        </w:rPr>
        <w:t>个工作日内签订购销合同，逾期签订合同方按违约处理，履约保证金赔偿给守约方。</w:t>
      </w:r>
      <w:r>
        <w:rPr>
          <w:rFonts w:hint="eastAsia" w:ascii="宋体" w:hAnsi="宋体" w:cs="宋体"/>
          <w:sz w:val="24"/>
          <w:lang w:eastAsia="zh-CN"/>
        </w:rPr>
        <w:tab/>
      </w:r>
    </w:p>
    <w:p w14:paraId="69602AC8">
      <w:pPr>
        <w:spacing w:line="360" w:lineRule="auto"/>
        <w:ind w:firstLine="480" w:firstLineChars="200"/>
        <w:rPr>
          <w:rFonts w:hint="default" w:ascii="宋体" w:hAnsi="宋体" w:eastAsia="宋体"/>
          <w:sz w:val="24"/>
          <w:lang w:val="en-US" w:eastAsia="zh-CN"/>
        </w:rPr>
      </w:pPr>
      <w:r>
        <w:rPr>
          <w:rFonts w:hint="eastAsia" w:ascii="宋体" w:hAnsi="宋体"/>
          <w:sz w:val="24"/>
          <w:lang w:val="en-US" w:eastAsia="zh-CN"/>
        </w:rPr>
        <w:t>2</w:t>
      </w:r>
      <w:r>
        <w:rPr>
          <w:rFonts w:hint="eastAsia" w:ascii="宋体" w:hAnsi="宋体"/>
          <w:sz w:val="24"/>
        </w:rPr>
        <w:t>、</w:t>
      </w:r>
      <w:r>
        <w:rPr>
          <w:rFonts w:hint="eastAsia" w:ascii="宋体" w:hAnsi="宋体"/>
          <w:sz w:val="24"/>
          <w:lang w:val="en-US" w:eastAsia="zh-CN"/>
        </w:rPr>
        <w:t>本次成交价格为由竞得方用货车运至上虞区粮食和物资保障中心成品仓车板前价格。</w:t>
      </w:r>
    </w:p>
    <w:p w14:paraId="6608CCF7">
      <w:pPr>
        <w:spacing w:line="360" w:lineRule="auto"/>
        <w:ind w:firstLine="480" w:firstLineChars="200"/>
        <w:rPr>
          <w:rFonts w:hint="eastAsia" w:ascii="宋体" w:hAnsi="宋体"/>
          <w:sz w:val="24"/>
        </w:rPr>
      </w:pPr>
      <w:r>
        <w:rPr>
          <w:rFonts w:hint="eastAsia" w:ascii="宋体" w:hAnsi="宋体"/>
          <w:sz w:val="24"/>
          <w:lang w:val="en-US" w:eastAsia="zh-CN"/>
        </w:rPr>
        <w:t>3</w:t>
      </w:r>
      <w:r>
        <w:rPr>
          <w:rFonts w:hint="eastAsia" w:ascii="宋体" w:hAnsi="宋体"/>
          <w:sz w:val="24"/>
        </w:rPr>
        <w:t xml:space="preserve">、发票及相关税费：提供正式销货发票，有关印花税等税款按国家有关规定由各自自行缴纳。 </w:t>
      </w:r>
    </w:p>
    <w:p w14:paraId="59EFAC91">
      <w:pPr>
        <w:spacing w:line="360" w:lineRule="auto"/>
        <w:ind w:firstLine="480" w:firstLineChars="200"/>
        <w:rPr>
          <w:rFonts w:hint="eastAsia" w:ascii="宋体" w:hAnsi="宋体"/>
          <w:sz w:val="24"/>
          <w:lang w:val="en-US" w:eastAsia="zh-CN"/>
        </w:rPr>
      </w:pPr>
      <w:r>
        <w:rPr>
          <w:rFonts w:hint="eastAsia" w:ascii="宋体" w:hAnsi="宋体"/>
          <w:sz w:val="24"/>
          <w:lang w:val="en-US" w:eastAsia="zh-CN"/>
        </w:rPr>
        <w:t>4</w:t>
      </w:r>
      <w:r>
        <w:rPr>
          <w:rFonts w:hint="eastAsia" w:ascii="宋体" w:hAnsi="宋体"/>
          <w:sz w:val="24"/>
        </w:rPr>
        <w:t>、</w:t>
      </w:r>
      <w:r>
        <w:rPr>
          <w:rFonts w:hint="eastAsia" w:ascii="宋体" w:hAnsi="宋体"/>
          <w:sz w:val="24"/>
          <w:lang w:val="en-US" w:eastAsia="zh-CN"/>
        </w:rPr>
        <w:t>由代储单位提供仓库占用费的正式发票或加盖企业财务章的收款收据</w:t>
      </w:r>
    </w:p>
    <w:p w14:paraId="76006343">
      <w:pPr>
        <w:spacing w:line="360" w:lineRule="auto"/>
        <w:ind w:firstLine="480" w:firstLineChars="200"/>
        <w:rPr>
          <w:rFonts w:hint="eastAsia" w:ascii="宋体" w:hAnsi="宋体" w:cs="宋体"/>
          <w:sz w:val="24"/>
          <w:lang w:val="en-US" w:eastAsia="zh-CN"/>
        </w:rPr>
      </w:pPr>
      <w:r>
        <w:rPr>
          <w:rFonts w:hint="eastAsia" w:ascii="宋体" w:hAnsi="宋体" w:cs="宋体"/>
          <w:sz w:val="24"/>
          <w:lang w:val="en-US" w:eastAsia="zh-CN"/>
        </w:rPr>
        <w:t>5</w:t>
      </w:r>
      <w:r>
        <w:rPr>
          <w:rFonts w:hint="eastAsia" w:ascii="宋体" w:hAnsi="宋体" w:cs="宋体"/>
          <w:sz w:val="24"/>
        </w:rPr>
        <w:t>、竞得方必须在合同约定的入库时间内完成供货，在规定的入库时间内未完成供货视作竞得方违约（如因天气</w:t>
      </w:r>
      <w:r>
        <w:rPr>
          <w:rFonts w:hint="eastAsia" w:ascii="宋体" w:hAnsi="宋体" w:cs="宋体"/>
          <w:sz w:val="24"/>
          <w:lang w:val="en-US" w:eastAsia="zh-CN"/>
        </w:rPr>
        <w:t>、疫情</w:t>
      </w:r>
      <w:r>
        <w:rPr>
          <w:rFonts w:hint="eastAsia" w:ascii="宋体" w:hAnsi="宋体" w:cs="宋体"/>
          <w:sz w:val="24"/>
        </w:rPr>
        <w:t>等特殊原因确需延期的，须经委托方同意），委托方有权单方面</w:t>
      </w:r>
      <w:r>
        <w:rPr>
          <w:rFonts w:hint="eastAsia" w:ascii="宋体" w:hAnsi="宋体" w:cs="宋体"/>
          <w:sz w:val="24"/>
          <w:lang w:eastAsia="zh-CN"/>
        </w:rPr>
        <w:t>终止</w:t>
      </w:r>
      <w:r>
        <w:rPr>
          <w:rFonts w:hint="eastAsia" w:ascii="宋体" w:hAnsi="宋体" w:cs="宋体"/>
          <w:sz w:val="24"/>
        </w:rPr>
        <w:t>履行合同，竞得方缴纳的履约保证金全额抵作违约金支付给委托方。已供部分</w:t>
      </w:r>
      <w:r>
        <w:rPr>
          <w:rFonts w:hint="eastAsia" w:ascii="宋体" w:hAnsi="宋体" w:cs="宋体"/>
          <w:sz w:val="24"/>
          <w:lang w:val="en-US" w:eastAsia="zh-CN"/>
        </w:rPr>
        <w:t>菜籽</w:t>
      </w:r>
      <w:r>
        <w:rPr>
          <w:rFonts w:hint="eastAsia" w:ascii="宋体" w:hAnsi="宋体" w:cs="宋体"/>
          <w:sz w:val="24"/>
          <w:lang w:eastAsia="zh-CN"/>
        </w:rPr>
        <w:t>油</w:t>
      </w:r>
      <w:r>
        <w:rPr>
          <w:rFonts w:hint="eastAsia" w:ascii="宋体" w:hAnsi="宋体" w:cs="宋体"/>
          <w:sz w:val="24"/>
        </w:rPr>
        <w:t>如质量符合规定标准，按实结清货款</w:t>
      </w:r>
      <w:r>
        <w:rPr>
          <w:rFonts w:hint="eastAsia" w:ascii="宋体" w:hAnsi="宋体" w:cs="宋体"/>
          <w:sz w:val="24"/>
          <w:lang w:eastAsia="zh-CN"/>
        </w:rPr>
        <w:t>；</w:t>
      </w:r>
      <w:r>
        <w:rPr>
          <w:rFonts w:hint="eastAsia" w:ascii="宋体" w:hAnsi="宋体" w:cs="宋体"/>
          <w:sz w:val="24"/>
        </w:rPr>
        <w:t>如质量达不到规定标准，由竞得方自行处理已供</w:t>
      </w:r>
      <w:r>
        <w:rPr>
          <w:rFonts w:hint="eastAsia" w:ascii="宋体" w:hAnsi="宋体" w:cs="宋体"/>
          <w:sz w:val="24"/>
          <w:lang w:val="en-US" w:eastAsia="zh-CN"/>
        </w:rPr>
        <w:t>菜籽</w:t>
      </w:r>
      <w:r>
        <w:rPr>
          <w:rFonts w:hint="eastAsia" w:ascii="宋体" w:hAnsi="宋体" w:cs="宋体"/>
          <w:sz w:val="24"/>
          <w:lang w:eastAsia="zh-CN"/>
        </w:rPr>
        <w:t>油，</w:t>
      </w:r>
      <w:r>
        <w:rPr>
          <w:rFonts w:hint="eastAsia" w:ascii="宋体" w:hAnsi="宋体" w:cs="宋体"/>
          <w:sz w:val="24"/>
          <w:lang w:val="en-US" w:eastAsia="zh-CN"/>
        </w:rPr>
        <w:t>并从截至日起与代储库点自行沟通仓库占用费用等事项。</w:t>
      </w:r>
    </w:p>
    <w:p w14:paraId="1B2A5D74">
      <w:pPr>
        <w:spacing w:line="360" w:lineRule="auto"/>
        <w:ind w:firstLine="480" w:firstLineChars="200"/>
        <w:rPr>
          <w:rFonts w:hint="eastAsia" w:ascii="宋体" w:hAnsi="宋体" w:eastAsia="宋体" w:cs="宋体"/>
          <w:i w:val="0"/>
          <w:iCs w:val="0"/>
          <w:caps w:val="0"/>
          <w:color w:val="000000"/>
          <w:spacing w:val="0"/>
          <w:sz w:val="24"/>
          <w:szCs w:val="24"/>
        </w:rPr>
      </w:pPr>
      <w:r>
        <w:rPr>
          <w:rFonts w:hint="eastAsia" w:ascii="宋体" w:hAnsi="宋体" w:cs="宋体"/>
          <w:sz w:val="24"/>
          <w:lang w:val="en-US" w:eastAsia="zh-CN"/>
        </w:rPr>
        <w:t>6、</w:t>
      </w:r>
      <w:r>
        <w:rPr>
          <w:rFonts w:hint="eastAsia" w:ascii="宋体" w:hAnsi="宋体" w:eastAsia="宋体" w:cs="宋体"/>
          <w:i w:val="0"/>
          <w:iCs w:val="0"/>
          <w:caps w:val="0"/>
          <w:color w:val="000000"/>
          <w:spacing w:val="0"/>
          <w:sz w:val="24"/>
          <w:szCs w:val="24"/>
          <w:lang w:eastAsia="zh-CN"/>
        </w:rPr>
        <w:t>竞得</w:t>
      </w:r>
      <w:r>
        <w:rPr>
          <w:rFonts w:hint="eastAsia" w:ascii="宋体" w:hAnsi="宋体" w:eastAsia="宋体" w:cs="宋体"/>
          <w:i w:val="0"/>
          <w:iCs w:val="0"/>
          <w:caps w:val="0"/>
          <w:color w:val="000000"/>
          <w:spacing w:val="0"/>
          <w:sz w:val="24"/>
          <w:szCs w:val="24"/>
        </w:rPr>
        <w:t>后，</w:t>
      </w:r>
      <w:r>
        <w:rPr>
          <w:rFonts w:hint="eastAsia" w:ascii="宋体" w:hAnsi="宋体" w:eastAsia="宋体" w:cs="宋体"/>
          <w:i w:val="0"/>
          <w:iCs w:val="0"/>
          <w:caps w:val="0"/>
          <w:color w:val="000000"/>
          <w:spacing w:val="0"/>
          <w:sz w:val="24"/>
          <w:szCs w:val="24"/>
          <w:lang w:val="en-US" w:eastAsia="zh-CN"/>
        </w:rPr>
        <w:t>菜籽油竞得方</w:t>
      </w:r>
      <w:r>
        <w:rPr>
          <w:rFonts w:hint="eastAsia" w:ascii="宋体" w:hAnsi="宋体" w:eastAsia="宋体" w:cs="宋体"/>
          <w:i w:val="0"/>
          <w:iCs w:val="0"/>
          <w:caps w:val="0"/>
          <w:color w:val="000000"/>
          <w:spacing w:val="0"/>
          <w:sz w:val="24"/>
          <w:szCs w:val="24"/>
        </w:rPr>
        <w:t>提供</w:t>
      </w:r>
      <w:r>
        <w:rPr>
          <w:rFonts w:hint="eastAsia" w:ascii="宋体" w:hAnsi="宋体" w:eastAsia="宋体" w:cs="宋体"/>
          <w:i w:val="0"/>
          <w:iCs w:val="0"/>
          <w:caps w:val="0"/>
          <w:color w:val="000000"/>
          <w:spacing w:val="0"/>
          <w:sz w:val="24"/>
          <w:szCs w:val="24"/>
          <w:lang w:val="en-US" w:eastAsia="zh-CN"/>
        </w:rPr>
        <w:t>产品</w:t>
      </w:r>
      <w:r>
        <w:rPr>
          <w:rFonts w:hint="eastAsia" w:ascii="宋体" w:hAnsi="宋体" w:eastAsia="宋体" w:cs="宋体"/>
          <w:i w:val="0"/>
          <w:iCs w:val="0"/>
          <w:caps w:val="0"/>
          <w:color w:val="000000"/>
          <w:spacing w:val="0"/>
          <w:sz w:val="24"/>
          <w:szCs w:val="24"/>
        </w:rPr>
        <w:t>承诺书，</w:t>
      </w:r>
      <w:r>
        <w:rPr>
          <w:rFonts w:hint="eastAsia" w:ascii="宋体" w:hAnsi="宋体" w:eastAsia="宋体" w:cs="宋体"/>
          <w:i w:val="0"/>
          <w:iCs w:val="0"/>
          <w:caps w:val="0"/>
          <w:color w:val="000000"/>
          <w:spacing w:val="0"/>
          <w:sz w:val="24"/>
          <w:szCs w:val="24"/>
          <w:lang w:val="en-US" w:eastAsia="zh-CN"/>
        </w:rPr>
        <w:t>并保证菜籽油</w:t>
      </w:r>
      <w:r>
        <w:rPr>
          <w:rFonts w:hint="eastAsia" w:ascii="宋体" w:hAnsi="宋体" w:eastAsia="宋体" w:cs="宋体"/>
          <w:i w:val="0"/>
          <w:iCs w:val="0"/>
          <w:caps w:val="0"/>
          <w:color w:val="000000"/>
          <w:spacing w:val="0"/>
          <w:sz w:val="24"/>
          <w:szCs w:val="24"/>
        </w:rPr>
        <w:t>在保质期内，</w:t>
      </w:r>
      <w:r>
        <w:rPr>
          <w:rFonts w:hint="eastAsia" w:ascii="宋体" w:hAnsi="宋体" w:eastAsia="宋体" w:cs="宋体"/>
          <w:i w:val="0"/>
          <w:iCs w:val="0"/>
          <w:caps w:val="0"/>
          <w:color w:val="000000"/>
          <w:spacing w:val="0"/>
          <w:sz w:val="24"/>
          <w:szCs w:val="24"/>
          <w:lang w:val="en-US" w:eastAsia="zh-CN"/>
        </w:rPr>
        <w:t>竞得</w:t>
      </w:r>
      <w:r>
        <w:rPr>
          <w:rFonts w:hint="eastAsia" w:ascii="宋体" w:hAnsi="宋体" w:eastAsia="宋体" w:cs="宋体"/>
          <w:i w:val="0"/>
          <w:iCs w:val="0"/>
          <w:caps w:val="0"/>
          <w:color w:val="000000"/>
          <w:spacing w:val="0"/>
          <w:sz w:val="24"/>
          <w:szCs w:val="24"/>
        </w:rPr>
        <w:t>方对瓶内数量、质量负全责。</w:t>
      </w:r>
    </w:p>
    <w:p w14:paraId="06CD6A52">
      <w:pPr>
        <w:spacing w:line="360" w:lineRule="auto"/>
        <w:ind w:firstLine="480" w:firstLineChars="200"/>
        <w:rPr>
          <w:rFonts w:ascii="宋体" w:hAnsi="宋体"/>
          <w:sz w:val="24"/>
        </w:rPr>
      </w:pPr>
      <w:r>
        <w:rPr>
          <w:rFonts w:hint="eastAsia" w:ascii="宋体" w:hAnsi="宋体"/>
          <w:sz w:val="24"/>
        </w:rPr>
        <w:t>五、违约处理</w:t>
      </w:r>
    </w:p>
    <w:p w14:paraId="68C8470C">
      <w:pPr>
        <w:spacing w:line="360" w:lineRule="auto"/>
        <w:ind w:firstLine="480" w:firstLineChars="200"/>
        <w:rPr>
          <w:rFonts w:hint="eastAsia" w:ascii="宋体" w:hAnsi="宋体"/>
          <w:sz w:val="24"/>
        </w:rPr>
      </w:pPr>
      <w:r>
        <w:rPr>
          <w:rFonts w:hint="eastAsia" w:ascii="宋体" w:hAnsi="宋体"/>
          <w:sz w:val="24"/>
        </w:rPr>
        <w:t>竞得方未能全面履行粮油购销合同形成违约的，由国家粮食浙江交易中心将竞得方预交的履约保证金划拨转付给委托方，且委托方有权立即解除合同，相应法律责任由竞得方承担。</w:t>
      </w:r>
    </w:p>
    <w:p w14:paraId="55E4ECC7">
      <w:pPr>
        <w:spacing w:line="400" w:lineRule="exact"/>
        <w:ind w:firstLine="480" w:firstLineChars="200"/>
        <w:rPr>
          <w:rFonts w:ascii="宋体" w:hAnsi="宋体"/>
          <w:sz w:val="24"/>
        </w:rPr>
      </w:pPr>
    </w:p>
    <w:p w14:paraId="101EBA8F">
      <w:pPr>
        <w:spacing w:line="480" w:lineRule="exact"/>
      </w:pPr>
    </w:p>
    <w:p w14:paraId="582DA639">
      <w:pPr>
        <w:adjustRightInd w:val="0"/>
        <w:snapToGrid w:val="0"/>
        <w:spacing w:line="420" w:lineRule="exact"/>
        <w:ind w:firstLine="480" w:firstLineChars="200"/>
        <w:jc w:val="right"/>
        <w:rPr>
          <w:rFonts w:ascii="宋体" w:hAnsi="宋体" w:cs="宋体"/>
          <w:color w:val="000000"/>
          <w:kern w:val="0"/>
          <w:sz w:val="24"/>
        </w:rPr>
      </w:pPr>
      <w:r>
        <w:rPr>
          <w:rFonts w:hint="eastAsia" w:ascii="宋体" w:hAnsi="宋体" w:cs="宋体"/>
          <w:color w:val="000000"/>
          <w:kern w:val="0"/>
          <w:sz w:val="24"/>
        </w:rPr>
        <w:t>国家粮食浙江交易中心绍兴分中心</w:t>
      </w:r>
    </w:p>
    <w:p w14:paraId="16AC0EA1">
      <w:pPr>
        <w:adjustRightInd w:val="0"/>
        <w:snapToGrid w:val="0"/>
        <w:spacing w:line="420" w:lineRule="exact"/>
        <w:ind w:firstLine="480" w:firstLineChars="200"/>
        <w:jc w:val="right"/>
        <w:rPr>
          <w:rFonts w:ascii="宋体" w:hAnsi="宋体" w:cs="宋体"/>
          <w:color w:val="000000"/>
          <w:kern w:val="0"/>
          <w:sz w:val="24"/>
        </w:rPr>
      </w:pPr>
      <w:r>
        <w:rPr>
          <w:rFonts w:hint="eastAsia" w:ascii="宋体" w:hAnsi="宋体"/>
          <w:sz w:val="24"/>
        </w:rPr>
        <w:t>国家粮食浙江交易中心</w:t>
      </w:r>
    </w:p>
    <w:p w14:paraId="6131103F">
      <w:pPr>
        <w:spacing w:line="480" w:lineRule="exact"/>
        <w:jc w:val="right"/>
      </w:pPr>
      <w:r>
        <w:rPr>
          <w:rFonts w:hint="eastAsia" w:ascii="宋体" w:hAnsi="宋体"/>
          <w:sz w:val="24"/>
        </w:rPr>
        <w:t>二〇二五年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二十七</w:t>
      </w:r>
      <w:r>
        <w:rPr>
          <w:rFonts w:hint="eastAsia" w:ascii="宋体" w:hAnsi="宋体"/>
          <w:sz w:val="24"/>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mFmMDE3OWE1NjViMmI3M2QzM2M4MTY1ZTMwMzYyYzgifQ=="/>
  </w:docVars>
  <w:rsids>
    <w:rsidRoot w:val="0002515C"/>
    <w:rsid w:val="000106E9"/>
    <w:rsid w:val="00016273"/>
    <w:rsid w:val="000207C8"/>
    <w:rsid w:val="0002515C"/>
    <w:rsid w:val="0006076B"/>
    <w:rsid w:val="000C39DA"/>
    <w:rsid w:val="000C4FB2"/>
    <w:rsid w:val="000D28CC"/>
    <w:rsid w:val="000E1DD2"/>
    <w:rsid w:val="00100697"/>
    <w:rsid w:val="00111BFD"/>
    <w:rsid w:val="0011252C"/>
    <w:rsid w:val="00114BCB"/>
    <w:rsid w:val="00115509"/>
    <w:rsid w:val="0013319A"/>
    <w:rsid w:val="00144A8B"/>
    <w:rsid w:val="00150C0C"/>
    <w:rsid w:val="001818B7"/>
    <w:rsid w:val="001C1C37"/>
    <w:rsid w:val="001D41A5"/>
    <w:rsid w:val="001E57B1"/>
    <w:rsid w:val="001E699A"/>
    <w:rsid w:val="001F205E"/>
    <w:rsid w:val="001F20F2"/>
    <w:rsid w:val="00236E51"/>
    <w:rsid w:val="002403AD"/>
    <w:rsid w:val="00245AC6"/>
    <w:rsid w:val="00246B33"/>
    <w:rsid w:val="002731C1"/>
    <w:rsid w:val="002855CD"/>
    <w:rsid w:val="00290DE7"/>
    <w:rsid w:val="002A1E4A"/>
    <w:rsid w:val="002B2A3A"/>
    <w:rsid w:val="002E6350"/>
    <w:rsid w:val="002F2C9B"/>
    <w:rsid w:val="003144F5"/>
    <w:rsid w:val="00315F13"/>
    <w:rsid w:val="00331C90"/>
    <w:rsid w:val="0033279A"/>
    <w:rsid w:val="00344E59"/>
    <w:rsid w:val="00356D61"/>
    <w:rsid w:val="003629F7"/>
    <w:rsid w:val="00395B81"/>
    <w:rsid w:val="003E65B3"/>
    <w:rsid w:val="004065AE"/>
    <w:rsid w:val="0042637D"/>
    <w:rsid w:val="00437A7F"/>
    <w:rsid w:val="00451386"/>
    <w:rsid w:val="00451CBF"/>
    <w:rsid w:val="00452C57"/>
    <w:rsid w:val="00465169"/>
    <w:rsid w:val="00471757"/>
    <w:rsid w:val="00485891"/>
    <w:rsid w:val="004A6D31"/>
    <w:rsid w:val="004B4F2C"/>
    <w:rsid w:val="004D185B"/>
    <w:rsid w:val="004F77B6"/>
    <w:rsid w:val="0051418F"/>
    <w:rsid w:val="005171E2"/>
    <w:rsid w:val="00527001"/>
    <w:rsid w:val="00535748"/>
    <w:rsid w:val="005459FB"/>
    <w:rsid w:val="0055172E"/>
    <w:rsid w:val="005B6179"/>
    <w:rsid w:val="005C7A27"/>
    <w:rsid w:val="005E2D78"/>
    <w:rsid w:val="00602125"/>
    <w:rsid w:val="00614AFB"/>
    <w:rsid w:val="0064585E"/>
    <w:rsid w:val="006611A4"/>
    <w:rsid w:val="0066524D"/>
    <w:rsid w:val="0067678A"/>
    <w:rsid w:val="006A71C4"/>
    <w:rsid w:val="006C4D6D"/>
    <w:rsid w:val="006E41A5"/>
    <w:rsid w:val="00706202"/>
    <w:rsid w:val="00751173"/>
    <w:rsid w:val="007660B8"/>
    <w:rsid w:val="007665AB"/>
    <w:rsid w:val="00780A30"/>
    <w:rsid w:val="00781EF7"/>
    <w:rsid w:val="00794B7A"/>
    <w:rsid w:val="0079606B"/>
    <w:rsid w:val="007A74C6"/>
    <w:rsid w:val="007F5C82"/>
    <w:rsid w:val="00837D9B"/>
    <w:rsid w:val="0084794C"/>
    <w:rsid w:val="00883D0E"/>
    <w:rsid w:val="00896117"/>
    <w:rsid w:val="008B117C"/>
    <w:rsid w:val="008D4FBD"/>
    <w:rsid w:val="008D5568"/>
    <w:rsid w:val="008F595B"/>
    <w:rsid w:val="009222A7"/>
    <w:rsid w:val="00941D99"/>
    <w:rsid w:val="0094748D"/>
    <w:rsid w:val="00950B75"/>
    <w:rsid w:val="009533DF"/>
    <w:rsid w:val="009718A9"/>
    <w:rsid w:val="00976878"/>
    <w:rsid w:val="00984680"/>
    <w:rsid w:val="009942FA"/>
    <w:rsid w:val="009B514D"/>
    <w:rsid w:val="009B55F6"/>
    <w:rsid w:val="009F22D2"/>
    <w:rsid w:val="00A14921"/>
    <w:rsid w:val="00A65297"/>
    <w:rsid w:val="00A978C2"/>
    <w:rsid w:val="00AA3FA8"/>
    <w:rsid w:val="00AC084C"/>
    <w:rsid w:val="00AE2A4A"/>
    <w:rsid w:val="00B030CC"/>
    <w:rsid w:val="00B31B11"/>
    <w:rsid w:val="00B516B9"/>
    <w:rsid w:val="00B55E94"/>
    <w:rsid w:val="00B61785"/>
    <w:rsid w:val="00B72CC4"/>
    <w:rsid w:val="00B928CC"/>
    <w:rsid w:val="00BA26E7"/>
    <w:rsid w:val="00BA3F46"/>
    <w:rsid w:val="00BB5434"/>
    <w:rsid w:val="00BD49EF"/>
    <w:rsid w:val="00C15B08"/>
    <w:rsid w:val="00C44087"/>
    <w:rsid w:val="00C4597C"/>
    <w:rsid w:val="00C476B3"/>
    <w:rsid w:val="00C70BCB"/>
    <w:rsid w:val="00CA5593"/>
    <w:rsid w:val="00CB5874"/>
    <w:rsid w:val="00CC6A32"/>
    <w:rsid w:val="00CC7732"/>
    <w:rsid w:val="00CE0698"/>
    <w:rsid w:val="00CE75FF"/>
    <w:rsid w:val="00D4646E"/>
    <w:rsid w:val="00D47833"/>
    <w:rsid w:val="00DA4EFA"/>
    <w:rsid w:val="00DB256A"/>
    <w:rsid w:val="00DB6D97"/>
    <w:rsid w:val="00DC018F"/>
    <w:rsid w:val="00DC1423"/>
    <w:rsid w:val="00DE3F2C"/>
    <w:rsid w:val="00DE6195"/>
    <w:rsid w:val="00E154BF"/>
    <w:rsid w:val="00E176DF"/>
    <w:rsid w:val="00E34265"/>
    <w:rsid w:val="00E342B9"/>
    <w:rsid w:val="00E92A39"/>
    <w:rsid w:val="00E9631D"/>
    <w:rsid w:val="00ED0571"/>
    <w:rsid w:val="00ED31FA"/>
    <w:rsid w:val="00EF102A"/>
    <w:rsid w:val="00F10C17"/>
    <w:rsid w:val="00F2535E"/>
    <w:rsid w:val="00F2761A"/>
    <w:rsid w:val="00F368C5"/>
    <w:rsid w:val="00F374F0"/>
    <w:rsid w:val="00F40A16"/>
    <w:rsid w:val="00F60E25"/>
    <w:rsid w:val="00F63E8E"/>
    <w:rsid w:val="00F72131"/>
    <w:rsid w:val="00F723D6"/>
    <w:rsid w:val="00F72B3F"/>
    <w:rsid w:val="00F85DF2"/>
    <w:rsid w:val="00F9749B"/>
    <w:rsid w:val="00FA4056"/>
    <w:rsid w:val="00FE299D"/>
    <w:rsid w:val="00FE3D58"/>
    <w:rsid w:val="00FF046D"/>
    <w:rsid w:val="01AB1013"/>
    <w:rsid w:val="137FC6B3"/>
    <w:rsid w:val="13B23C67"/>
    <w:rsid w:val="15443A3F"/>
    <w:rsid w:val="188917B1"/>
    <w:rsid w:val="1B768A2F"/>
    <w:rsid w:val="32846C54"/>
    <w:rsid w:val="34701D3E"/>
    <w:rsid w:val="3642188B"/>
    <w:rsid w:val="3BFE13B9"/>
    <w:rsid w:val="3FFF310E"/>
    <w:rsid w:val="45E06316"/>
    <w:rsid w:val="4D16450C"/>
    <w:rsid w:val="55435AE6"/>
    <w:rsid w:val="581542C0"/>
    <w:rsid w:val="5B4F2D46"/>
    <w:rsid w:val="5CD63570"/>
    <w:rsid w:val="5D9B030E"/>
    <w:rsid w:val="621255CA"/>
    <w:rsid w:val="63EAD12B"/>
    <w:rsid w:val="6C537AB1"/>
    <w:rsid w:val="706D58A3"/>
    <w:rsid w:val="71BA6482"/>
    <w:rsid w:val="7350417A"/>
    <w:rsid w:val="76676B6C"/>
    <w:rsid w:val="7A320BBC"/>
    <w:rsid w:val="7AAF4305"/>
    <w:rsid w:val="7B0A1C55"/>
    <w:rsid w:val="7BBD48C6"/>
    <w:rsid w:val="7BF66FAD"/>
    <w:rsid w:val="7CFF91D8"/>
    <w:rsid w:val="7FED94A2"/>
    <w:rsid w:val="ADFF0C53"/>
    <w:rsid w:val="B9F68C8F"/>
    <w:rsid w:val="CFFDC537"/>
    <w:rsid w:val="E369B137"/>
    <w:rsid w:val="FB7517A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0"/>
    <w:semiHidden/>
    <w:unhideWhenUsed/>
    <w:qFormat/>
    <w:uiPriority w:val="99"/>
    <w:pPr>
      <w:ind w:left="100" w:leftChars="2500"/>
    </w:pPr>
  </w:style>
  <w:style w:type="paragraph" w:styleId="3">
    <w:name w:val="Balloon Text"/>
    <w:basedOn w:val="1"/>
    <w:link w:val="11"/>
    <w:semiHidden/>
    <w:unhideWhenUsed/>
    <w:qFormat/>
    <w:uiPriority w:val="99"/>
    <w:rPr>
      <w:sz w:val="18"/>
      <w:szCs w:val="18"/>
    </w:r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Strong"/>
    <w:basedOn w:val="7"/>
    <w:qFormat/>
    <w:uiPriority w:val="22"/>
    <w:rPr>
      <w:b/>
      <w:bCs/>
    </w:rPr>
  </w:style>
  <w:style w:type="character" w:styleId="9">
    <w:name w:val="page number"/>
    <w:qFormat/>
    <w:uiPriority w:val="0"/>
  </w:style>
  <w:style w:type="character" w:customStyle="1" w:styleId="10">
    <w:name w:val="日期 Char"/>
    <w:basedOn w:val="7"/>
    <w:link w:val="2"/>
    <w:semiHidden/>
    <w:qFormat/>
    <w:uiPriority w:val="99"/>
    <w:rPr>
      <w:rFonts w:ascii="Times New Roman" w:hAnsi="Times New Roman" w:eastAsia="宋体" w:cs="Times New Roman"/>
      <w:szCs w:val="24"/>
    </w:rPr>
  </w:style>
  <w:style w:type="character" w:customStyle="1" w:styleId="11">
    <w:name w:val="批注框文本 Char"/>
    <w:basedOn w:val="7"/>
    <w:link w:val="3"/>
    <w:semiHidden/>
    <w:qFormat/>
    <w:uiPriority w:val="99"/>
    <w:rPr>
      <w:rFonts w:ascii="Times New Roman" w:hAnsi="Times New Roman" w:eastAsia="宋体" w:cs="Times New Roman"/>
      <w:sz w:val="18"/>
      <w:szCs w:val="18"/>
    </w:rPr>
  </w:style>
  <w:style w:type="character" w:customStyle="1" w:styleId="12">
    <w:name w:val="页眉 Char"/>
    <w:basedOn w:val="7"/>
    <w:link w:val="5"/>
    <w:qFormat/>
    <w:uiPriority w:val="99"/>
    <w:rPr>
      <w:rFonts w:ascii="Times New Roman" w:hAnsi="Times New Roman" w:eastAsia="宋体" w:cs="Times New Roman"/>
      <w:sz w:val="18"/>
      <w:szCs w:val="18"/>
    </w:rPr>
  </w:style>
  <w:style w:type="character" w:customStyle="1" w:styleId="13">
    <w:name w:val="页脚 Char"/>
    <w:basedOn w:val="7"/>
    <w:link w:val="4"/>
    <w:qFormat/>
    <w:uiPriority w:val="99"/>
    <w:rPr>
      <w:rFonts w:ascii="Times New Roman" w:hAnsi="Times New Roman" w:eastAsia="宋体" w:cs="Times New Roman"/>
      <w:sz w:val="18"/>
      <w:szCs w:val="18"/>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1248</Words>
  <Characters>1295</Characters>
  <Lines>10</Lines>
  <Paragraphs>2</Paragraphs>
  <TotalTime>5</TotalTime>
  <ScaleCrop>false</ScaleCrop>
  <LinksUpToDate>false</LinksUpToDate>
  <CharactersWithSpaces>1305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2021-04-04T22:33:00Z</dcterms:created>
  <dc:creator>宋 国彪</dc:creator>
  <cp:lastModifiedBy>叶子</cp:lastModifiedBy>
  <cp:lastPrinted>2025-05-26T07:25:00Z</cp:lastPrinted>
  <dcterms:modified xsi:type="dcterms:W3CDTF">2025-10-27T07:17:26Z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354856F7E7E94E3DBF1DA694AC6C28B3</vt:lpwstr>
  </property>
  <property fmtid="{D5CDD505-2E9C-101B-9397-08002B2CF9AE}" pid="4" name="KSOTemplateDocerSaveRecord">
    <vt:lpwstr>eyJoZGlkIjoiNzU3MGNkODE0YTE4N2IyZDRiMmVlZDc1Mjc3MmZhMzIiLCJ1c2VySWQiOiI0NDUwOTgyOTEifQ==</vt:lpwstr>
  </property>
</Properties>
</file>