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1AFFAF">
      <w:pPr>
        <w:keepNext w:val="0"/>
        <w:keepLines w:val="0"/>
        <w:pageBreakBefore w:val="0"/>
        <w:widowControl w:val="0"/>
        <w:tabs>
          <w:tab w:val="left" w:pos="567"/>
        </w:tabs>
        <w:kinsoku/>
        <w:wordWrap/>
        <w:overflowPunct/>
        <w:topLinePunct w:val="0"/>
        <w:autoSpaceDE/>
        <w:autoSpaceDN/>
        <w:bidi w:val="0"/>
        <w:spacing w:line="460" w:lineRule="exact"/>
        <w:jc w:val="center"/>
        <w:textAlignment w:val="auto"/>
        <w:rPr>
          <w:rFonts w:hint="eastAsia" w:ascii="宋体" w:hAnsi="宋体"/>
          <w:b/>
          <w:sz w:val="32"/>
          <w:szCs w:val="32"/>
        </w:rPr>
      </w:pPr>
      <w:r>
        <w:rPr>
          <w:rFonts w:hint="eastAsia" w:ascii="宋体" w:hAnsi="宋体"/>
          <w:b/>
          <w:sz w:val="32"/>
          <w:szCs w:val="32"/>
        </w:rPr>
        <w:t>浙江绍兴市级储备</w:t>
      </w:r>
      <w:r>
        <w:rPr>
          <w:rFonts w:hint="eastAsia" w:ascii="宋体" w:hAnsi="宋体"/>
          <w:b/>
          <w:sz w:val="32"/>
          <w:szCs w:val="32"/>
          <w:lang w:val="en-US" w:eastAsia="zh-CN"/>
        </w:rPr>
        <w:t>油</w:t>
      </w:r>
      <w:r>
        <w:rPr>
          <w:rFonts w:hint="eastAsia" w:ascii="宋体" w:hAnsi="宋体"/>
          <w:b/>
          <w:sz w:val="32"/>
          <w:szCs w:val="32"/>
        </w:rPr>
        <w:t>公开竞价销售粮油交割细则</w:t>
      </w:r>
    </w:p>
    <w:p w14:paraId="6FC3C060">
      <w:pPr>
        <w:keepNext w:val="0"/>
        <w:keepLines w:val="0"/>
        <w:pageBreakBefore w:val="0"/>
        <w:widowControl w:val="0"/>
        <w:kinsoku/>
        <w:wordWrap/>
        <w:overflowPunct/>
        <w:topLinePunct w:val="0"/>
        <w:autoSpaceDE/>
        <w:autoSpaceDN/>
        <w:bidi w:val="0"/>
        <w:spacing w:line="460" w:lineRule="exact"/>
        <w:jc w:val="center"/>
        <w:textAlignment w:val="auto"/>
        <w:rPr>
          <w:rFonts w:hint="eastAsia" w:ascii="宋体" w:hAnsi="宋体"/>
          <w:b/>
          <w:sz w:val="32"/>
          <w:szCs w:val="32"/>
        </w:rPr>
      </w:pPr>
      <w:r>
        <w:rPr>
          <w:rFonts w:hint="eastAsia" w:ascii="宋体" w:hAnsi="宋体"/>
          <w:b/>
          <w:sz w:val="32"/>
          <w:szCs w:val="32"/>
        </w:rPr>
        <w:t>（国粮浙交</w:t>
      </w:r>
      <w:r>
        <w:rPr>
          <w:rFonts w:ascii="宋体" w:hAnsi="宋体"/>
          <w:b/>
          <w:sz w:val="32"/>
          <w:szCs w:val="32"/>
        </w:rPr>
        <w:t>20</w:t>
      </w:r>
      <w:r>
        <w:rPr>
          <w:rFonts w:hint="eastAsia" w:ascii="宋体" w:hAnsi="宋体"/>
          <w:b/>
          <w:sz w:val="32"/>
          <w:szCs w:val="32"/>
        </w:rPr>
        <w:t>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870</w:t>
      </w:r>
      <w:r>
        <w:rPr>
          <w:rFonts w:hint="eastAsia" w:ascii="宋体" w:hAnsi="宋体"/>
          <w:b/>
          <w:sz w:val="32"/>
          <w:szCs w:val="32"/>
        </w:rPr>
        <w:t>号）</w:t>
      </w:r>
    </w:p>
    <w:p w14:paraId="6DB0D7C3">
      <w:pPr>
        <w:keepNext w:val="0"/>
        <w:keepLines w:val="0"/>
        <w:pageBreakBefore w:val="0"/>
        <w:widowControl w:val="0"/>
        <w:tabs>
          <w:tab w:val="left" w:pos="567"/>
        </w:tabs>
        <w:kinsoku/>
        <w:wordWrap/>
        <w:overflowPunct/>
        <w:topLinePunct w:val="0"/>
        <w:autoSpaceDE/>
        <w:autoSpaceDN/>
        <w:bidi w:val="0"/>
        <w:spacing w:line="460" w:lineRule="exact"/>
        <w:ind w:firstLine="426" w:firstLineChars="177"/>
        <w:textAlignment w:val="auto"/>
        <w:rPr>
          <w:rFonts w:hint="eastAsia" w:ascii="宋体" w:hAnsi="宋体"/>
          <w:sz w:val="24"/>
        </w:rPr>
      </w:pPr>
      <w:r>
        <w:rPr>
          <w:rFonts w:hint="eastAsia" w:ascii="宋体" w:hAnsi="宋体"/>
          <w:b/>
          <w:bCs/>
          <w:sz w:val="24"/>
        </w:rPr>
        <w:t>一、数量、质量及包装要求</w:t>
      </w:r>
      <w:r>
        <w:rPr>
          <w:rFonts w:hint="eastAsia" w:ascii="宋体" w:hAnsi="宋体"/>
          <w:sz w:val="24"/>
        </w:rPr>
        <w:t>：</w:t>
      </w:r>
    </w:p>
    <w:p w14:paraId="39974827">
      <w:pPr>
        <w:keepNext w:val="0"/>
        <w:keepLines w:val="0"/>
        <w:pageBreakBefore w:val="0"/>
        <w:widowControl w:val="0"/>
        <w:kinsoku/>
        <w:wordWrap/>
        <w:overflowPunct/>
        <w:topLinePunct w:val="0"/>
        <w:autoSpaceDE/>
        <w:autoSpaceDN/>
        <w:bidi w:val="0"/>
        <w:spacing w:line="460" w:lineRule="exact"/>
        <w:ind w:firstLine="480" w:firstLineChars="200"/>
        <w:textAlignment w:val="auto"/>
        <w:rPr>
          <w:rFonts w:hint="eastAsia" w:ascii="宋体" w:hAnsi="宋体"/>
          <w:color w:val="000000"/>
          <w:sz w:val="24"/>
        </w:rPr>
      </w:pPr>
      <w:r>
        <w:rPr>
          <w:rFonts w:hint="eastAsia" w:ascii="宋体" w:hAnsi="宋体"/>
          <w:color w:val="000000"/>
          <w:sz w:val="24"/>
        </w:rPr>
        <w:t>1、</w:t>
      </w:r>
      <w:r>
        <w:rPr>
          <w:rFonts w:hint="eastAsia" w:ascii="宋体" w:hAnsi="宋体" w:eastAsia="宋体" w:cs="宋体"/>
          <w:i w:val="0"/>
          <w:iCs w:val="0"/>
          <w:color w:val="000000"/>
          <w:kern w:val="0"/>
          <w:sz w:val="22"/>
          <w:szCs w:val="22"/>
          <w:u w:val="none"/>
          <w:lang w:val="en-US" w:eastAsia="zh-CN" w:bidi="ar"/>
        </w:rPr>
        <w:t>大豆油</w:t>
      </w:r>
      <w:r>
        <w:rPr>
          <w:rFonts w:hint="eastAsia" w:ascii="宋体" w:hAnsi="宋体" w:eastAsia="宋体" w:cs="Times New Roman"/>
          <w:sz w:val="24"/>
          <w:lang w:val="en-US" w:eastAsia="zh-CN"/>
        </w:rPr>
        <w:t>200吨，</w:t>
      </w:r>
      <w:r>
        <w:rPr>
          <w:rFonts w:hint="eastAsia" w:ascii="宋体" w:hAnsi="宋体" w:eastAsia="宋体" w:cs="Times New Roman"/>
          <w:sz w:val="24"/>
        </w:rPr>
        <w:t>设</w:t>
      </w:r>
      <w:r>
        <w:rPr>
          <w:rFonts w:hint="eastAsia" w:ascii="宋体" w:hAnsi="宋体" w:eastAsia="宋体" w:cs="Times New Roman"/>
          <w:sz w:val="24"/>
          <w:lang w:val="en-US" w:eastAsia="zh-CN"/>
        </w:rPr>
        <w:t>1</w:t>
      </w:r>
      <w:r>
        <w:rPr>
          <w:rFonts w:hint="eastAsia" w:ascii="宋体" w:hAnsi="宋体" w:eastAsia="宋体" w:cs="Times New Roman"/>
          <w:sz w:val="24"/>
        </w:rPr>
        <w:t>个标段，详</w:t>
      </w:r>
      <w:r>
        <w:rPr>
          <w:rFonts w:hint="eastAsia" w:ascii="宋体" w:hAnsi="宋体"/>
          <w:sz w:val="24"/>
        </w:rPr>
        <w:t>见交易清单</w:t>
      </w:r>
      <w:r>
        <w:rPr>
          <w:rFonts w:hint="eastAsia" w:ascii="宋体" w:hAnsi="宋体"/>
          <w:color w:val="000000"/>
          <w:sz w:val="24"/>
        </w:rPr>
        <w:t>。</w:t>
      </w:r>
      <w:bookmarkStart w:id="0" w:name="_GoBack"/>
      <w:bookmarkEnd w:id="0"/>
    </w:p>
    <w:p w14:paraId="35667E77">
      <w:pPr>
        <w:keepNext w:val="0"/>
        <w:keepLines w:val="0"/>
        <w:pageBreakBefore w:val="0"/>
        <w:widowControl w:val="0"/>
        <w:numPr>
          <w:ilvl w:val="0"/>
          <w:numId w:val="1"/>
        </w:numPr>
        <w:kinsoku/>
        <w:wordWrap/>
        <w:overflowPunct/>
        <w:topLinePunct w:val="0"/>
        <w:autoSpaceDE/>
        <w:autoSpaceDN/>
        <w:bidi w:val="0"/>
        <w:spacing w:line="460" w:lineRule="exact"/>
        <w:ind w:firstLine="480" w:firstLineChars="200"/>
        <w:textAlignment w:val="auto"/>
        <w:rPr>
          <w:rFonts w:hint="eastAsia" w:ascii="宋体" w:hAnsi="宋体"/>
          <w:sz w:val="24"/>
        </w:rPr>
      </w:pPr>
      <w:r>
        <w:rPr>
          <w:rFonts w:hint="eastAsia" w:ascii="宋体" w:hAnsi="宋体"/>
          <w:sz w:val="24"/>
        </w:rPr>
        <w:t>质量：具体以委托方标的物所在仓库实物为准。</w:t>
      </w:r>
    </w:p>
    <w:p w14:paraId="0DAF3ECE">
      <w:pPr>
        <w:keepNext w:val="0"/>
        <w:keepLines w:val="0"/>
        <w:pageBreakBefore w:val="0"/>
        <w:widowControl w:val="0"/>
        <w:numPr>
          <w:ilvl w:val="0"/>
          <w:numId w:val="1"/>
        </w:numPr>
        <w:kinsoku/>
        <w:wordWrap/>
        <w:overflowPunct/>
        <w:topLinePunct w:val="0"/>
        <w:autoSpaceDE/>
        <w:autoSpaceDN/>
        <w:bidi w:val="0"/>
        <w:spacing w:line="460" w:lineRule="exact"/>
        <w:ind w:firstLine="480" w:firstLineChars="200"/>
        <w:textAlignment w:val="auto"/>
        <w:rPr>
          <w:rFonts w:hint="eastAsia" w:ascii="宋体" w:hAnsi="宋体"/>
          <w:sz w:val="24"/>
        </w:rPr>
      </w:pPr>
      <w:r>
        <w:rPr>
          <w:rFonts w:hint="eastAsia" w:ascii="宋体" w:hAnsi="宋体"/>
          <w:sz w:val="24"/>
        </w:rPr>
        <w:t>本次竞价销售活动经公告期和看样期后举行，请竞得方在规定看样时间内亲临储存库点实地看样，全面查验标的物质量、预包装食品标签等实际情况并查看相关质检报告，未看样的竞得方视为对标的物现状的确认。竞得方一旦做出竞价行为，即表明已完全了解并接受标的物的现状和一切已知及未知的瑕疵。委托方可向竞得方提供竞得粮食的检验报告。</w:t>
      </w:r>
    </w:p>
    <w:p w14:paraId="7D9FBEC6">
      <w:pPr>
        <w:spacing w:line="480" w:lineRule="exact"/>
        <w:ind w:firstLine="560" w:firstLineChars="200"/>
        <w:rPr>
          <w:rFonts w:ascii="黑体" w:hAnsi="宋体" w:eastAsia="黑体"/>
          <w:sz w:val="28"/>
        </w:rPr>
      </w:pPr>
      <w:r>
        <w:rPr>
          <w:rFonts w:hint="eastAsia" w:ascii="黑体" w:hAnsi="宋体" w:eastAsia="黑体"/>
          <w:sz w:val="28"/>
          <w:lang w:val="en-US" w:eastAsia="zh-CN"/>
        </w:rPr>
        <w:t>二</w:t>
      </w:r>
      <w:r>
        <w:rPr>
          <w:rFonts w:hint="eastAsia" w:ascii="黑体" w:hAnsi="宋体" w:eastAsia="黑体"/>
          <w:sz w:val="28"/>
        </w:rPr>
        <w:t>、</w:t>
      </w:r>
      <w:r>
        <w:rPr>
          <w:rFonts w:hint="eastAsia" w:ascii="黑体" w:hAnsi="宋体" w:eastAsia="黑体"/>
          <w:b/>
          <w:sz w:val="28"/>
        </w:rPr>
        <w:t>交货办法</w:t>
      </w:r>
    </w:p>
    <w:p w14:paraId="1E0FB9A9">
      <w:pPr>
        <w:spacing w:line="480" w:lineRule="exact"/>
        <w:ind w:firstLine="480" w:firstLineChars="200"/>
        <w:rPr>
          <w:rFonts w:hint="eastAsia" w:ascii="宋体" w:hAnsi="宋体" w:eastAsia="宋体"/>
          <w:sz w:val="24"/>
          <w:lang w:eastAsia="zh-CN"/>
        </w:rPr>
      </w:pPr>
      <w:r>
        <w:rPr>
          <w:rFonts w:hint="eastAsia" w:ascii="宋体" w:hAnsi="宋体"/>
          <w:sz w:val="24"/>
        </w:rPr>
        <w:t>1、交货时间：</w:t>
      </w:r>
      <w:r>
        <w:rPr>
          <w:rFonts w:hint="eastAsia" w:ascii="宋体" w:hAnsi="宋体"/>
          <w:sz w:val="24"/>
          <w:u w:val="single"/>
        </w:rPr>
        <w:t>标的物</w:t>
      </w:r>
      <w:r>
        <w:rPr>
          <w:rFonts w:hint="eastAsia" w:ascii="宋体" w:hAnsi="宋体"/>
          <w:sz w:val="24"/>
          <w:u w:val="single"/>
          <w:lang w:val="en-US" w:eastAsia="zh-CN"/>
        </w:rPr>
        <w:t>01</w:t>
      </w:r>
      <w:r>
        <w:rPr>
          <w:rFonts w:hint="eastAsia" w:ascii="宋体" w:hAnsi="宋体"/>
          <w:sz w:val="24"/>
          <w:u w:val="single"/>
        </w:rPr>
        <w:t>在202</w:t>
      </w:r>
      <w:r>
        <w:rPr>
          <w:rFonts w:hint="eastAsia" w:ascii="宋体" w:hAnsi="宋体"/>
          <w:sz w:val="24"/>
          <w:u w:val="single"/>
          <w:lang w:val="en-US" w:eastAsia="zh-CN"/>
        </w:rPr>
        <w:t>5</w:t>
      </w:r>
      <w:r>
        <w:rPr>
          <w:rFonts w:hint="eastAsia" w:ascii="宋体" w:hAnsi="宋体"/>
          <w:sz w:val="24"/>
          <w:u w:val="single"/>
        </w:rPr>
        <w:t>年</w:t>
      </w:r>
      <w:r>
        <w:rPr>
          <w:rFonts w:hint="eastAsia" w:ascii="宋体" w:hAnsi="宋体"/>
          <w:sz w:val="24"/>
          <w:u w:val="single"/>
          <w:lang w:val="en-US" w:eastAsia="zh-CN"/>
        </w:rPr>
        <w:t>11</w:t>
      </w:r>
      <w:r>
        <w:rPr>
          <w:rFonts w:hint="eastAsia" w:ascii="宋体" w:hAnsi="宋体"/>
          <w:sz w:val="24"/>
          <w:u w:val="single"/>
        </w:rPr>
        <w:t>月</w:t>
      </w:r>
      <w:r>
        <w:rPr>
          <w:rFonts w:hint="eastAsia" w:ascii="宋体" w:hAnsi="宋体"/>
          <w:sz w:val="24"/>
          <w:u w:val="single"/>
          <w:lang w:val="en-US" w:eastAsia="zh-CN"/>
        </w:rPr>
        <w:t>16</w:t>
      </w:r>
      <w:r>
        <w:rPr>
          <w:rFonts w:hint="eastAsia" w:ascii="宋体" w:hAnsi="宋体"/>
          <w:sz w:val="24"/>
          <w:u w:val="single"/>
        </w:rPr>
        <w:t>日前提清</w:t>
      </w:r>
    </w:p>
    <w:p w14:paraId="1CD3A542">
      <w:pPr>
        <w:spacing w:line="480" w:lineRule="exact"/>
        <w:ind w:firstLine="480" w:firstLineChars="200"/>
        <w:rPr>
          <w:rFonts w:ascii="宋体" w:hAnsi="宋体"/>
          <w:sz w:val="24"/>
        </w:rPr>
      </w:pPr>
      <w:r>
        <w:rPr>
          <w:rFonts w:hint="eastAsia" w:ascii="宋体" w:hAnsi="宋体"/>
          <w:sz w:val="24"/>
        </w:rPr>
        <w:t xml:space="preserve">2、交货地点: </w:t>
      </w:r>
      <w:r>
        <w:rPr>
          <w:rFonts w:hint="eastAsia" w:ascii="宋体" w:hAnsi="宋体"/>
          <w:sz w:val="24"/>
          <w:u w:val="single"/>
        </w:rPr>
        <w:t xml:space="preserve"> </w:t>
      </w:r>
      <w:r>
        <w:rPr>
          <w:rFonts w:hint="eastAsia" w:ascii="宋体" w:hAnsi="宋体"/>
          <w:sz w:val="24"/>
          <w:u w:val="single"/>
          <w:lang w:val="en-US" w:eastAsia="zh-CN"/>
        </w:rPr>
        <w:t>上虞区粮食和物资应急保障库L4-2号仓</w:t>
      </w:r>
    </w:p>
    <w:p w14:paraId="309559AC">
      <w:pPr>
        <w:spacing w:line="480" w:lineRule="exact"/>
        <w:ind w:firstLine="480" w:firstLineChars="200"/>
        <w:rPr>
          <w:rFonts w:ascii="宋体" w:hAnsi="宋体"/>
          <w:color w:val="auto"/>
          <w:sz w:val="24"/>
        </w:rPr>
      </w:pPr>
      <w:r>
        <w:rPr>
          <w:rFonts w:hint="eastAsia" w:ascii="宋体" w:hAnsi="宋体"/>
          <w:sz w:val="24"/>
        </w:rPr>
        <w:t>3、交货方式：</w:t>
      </w:r>
      <w:r>
        <w:rPr>
          <w:rFonts w:hint="eastAsia" w:ascii="宋体" w:hAnsi="宋体"/>
          <w:sz w:val="24"/>
          <w:u w:val="single"/>
          <w:lang w:eastAsia="zh-CN"/>
        </w:rPr>
        <w:t>竞得</w:t>
      </w:r>
      <w:r>
        <w:rPr>
          <w:rFonts w:hint="eastAsia" w:ascii="宋体" w:hAnsi="宋体"/>
          <w:sz w:val="24"/>
          <w:u w:val="single"/>
        </w:rPr>
        <w:t>方自行到标的物所在仓库提货，标的</w:t>
      </w:r>
      <w:r>
        <w:rPr>
          <w:rFonts w:ascii="宋体" w:hAnsi="宋体"/>
          <w:sz w:val="24"/>
          <w:u w:val="single"/>
        </w:rPr>
        <w:t>物在</w:t>
      </w:r>
      <w:r>
        <w:rPr>
          <w:rFonts w:hint="eastAsia" w:ascii="宋体" w:hAnsi="宋体"/>
          <w:sz w:val="24"/>
          <w:u w:val="single"/>
        </w:rPr>
        <w:t>提货仓库汽车板散装交货</w:t>
      </w:r>
      <w:r>
        <w:rPr>
          <w:rFonts w:hint="eastAsia" w:ascii="宋体" w:hAnsi="宋体"/>
          <w:color w:val="auto"/>
          <w:sz w:val="24"/>
        </w:rPr>
        <w:t>。</w:t>
      </w:r>
    </w:p>
    <w:p w14:paraId="60B13A1A">
      <w:pPr>
        <w:spacing w:line="480" w:lineRule="exact"/>
        <w:ind w:firstLine="480" w:firstLineChars="200"/>
        <w:rPr>
          <w:rFonts w:hint="eastAsia" w:ascii="宋体" w:hAnsi="宋体" w:eastAsia="宋体"/>
          <w:b/>
          <w:sz w:val="24"/>
          <w:u w:val="single"/>
          <w:lang w:eastAsia="zh-CN"/>
        </w:rPr>
      </w:pPr>
      <w:r>
        <w:rPr>
          <w:rFonts w:hint="eastAsia" w:ascii="宋体" w:hAnsi="宋体"/>
          <w:sz w:val="24"/>
        </w:rPr>
        <w:t>4、数量结算方式</w:t>
      </w:r>
      <w:r>
        <w:rPr>
          <w:rFonts w:hint="eastAsia" w:ascii="宋体" w:hAnsi="宋体"/>
          <w:sz w:val="24"/>
          <w:u w:val="single"/>
        </w:rPr>
        <w:t>：标的物在提货粮库</w:t>
      </w:r>
      <w:r>
        <w:rPr>
          <w:rFonts w:ascii="宋体" w:hAnsi="宋体"/>
          <w:color w:val="auto"/>
          <w:sz w:val="24"/>
          <w:u w:val="single"/>
        </w:rPr>
        <w:t>以地</w:t>
      </w:r>
      <w:r>
        <w:rPr>
          <w:rFonts w:hint="eastAsia" w:ascii="宋体" w:hAnsi="宋体"/>
          <w:color w:val="auto"/>
          <w:sz w:val="24"/>
          <w:u w:val="single"/>
        </w:rPr>
        <w:t>磅</w:t>
      </w:r>
      <w:r>
        <w:rPr>
          <w:rFonts w:ascii="宋体" w:hAnsi="宋体"/>
          <w:color w:val="auto"/>
          <w:sz w:val="24"/>
          <w:u w:val="single"/>
        </w:rPr>
        <w:t>秤</w:t>
      </w:r>
      <w:r>
        <w:rPr>
          <w:rFonts w:ascii="宋体" w:hAnsi="宋体"/>
          <w:sz w:val="24"/>
          <w:u w:val="single"/>
        </w:rPr>
        <w:t>重</w:t>
      </w:r>
      <w:r>
        <w:rPr>
          <w:rFonts w:hint="eastAsia" w:ascii="宋体" w:hAnsi="宋体"/>
          <w:sz w:val="24"/>
          <w:u w:val="single"/>
        </w:rPr>
        <w:t>或点包计量为准</w:t>
      </w:r>
      <w:r>
        <w:rPr>
          <w:rFonts w:hint="eastAsia" w:ascii="宋体" w:hAnsi="宋体"/>
          <w:sz w:val="24"/>
          <w:u w:val="single"/>
          <w:lang w:eastAsia="zh-CN"/>
        </w:rPr>
        <w:t>。</w:t>
      </w:r>
    </w:p>
    <w:p w14:paraId="5199C6C9">
      <w:pPr>
        <w:spacing w:line="480" w:lineRule="exact"/>
        <w:ind w:firstLine="560" w:firstLineChars="200"/>
        <w:rPr>
          <w:rFonts w:ascii="黑体" w:hAnsi="宋体" w:eastAsia="黑体"/>
          <w:sz w:val="28"/>
        </w:rPr>
      </w:pPr>
      <w:r>
        <w:rPr>
          <w:rFonts w:hint="eastAsia" w:ascii="黑体" w:hAnsi="宋体" w:eastAsia="黑体"/>
          <w:sz w:val="28"/>
          <w:lang w:val="en-US" w:eastAsia="zh-CN"/>
        </w:rPr>
        <w:t>三</w:t>
      </w:r>
      <w:r>
        <w:rPr>
          <w:rFonts w:hint="eastAsia" w:ascii="黑体" w:hAnsi="宋体" w:eastAsia="黑体"/>
          <w:sz w:val="28"/>
        </w:rPr>
        <w:t>、</w:t>
      </w:r>
      <w:r>
        <w:rPr>
          <w:rFonts w:hint="eastAsia" w:ascii="黑体" w:hAnsi="宋体" w:eastAsia="黑体"/>
          <w:b/>
          <w:sz w:val="28"/>
        </w:rPr>
        <w:t>结算办法</w:t>
      </w:r>
    </w:p>
    <w:p w14:paraId="5A0109C3">
      <w:pPr>
        <w:spacing w:line="480" w:lineRule="exact"/>
        <w:ind w:firstLine="480" w:firstLineChars="200"/>
        <w:rPr>
          <w:rFonts w:ascii="宋体" w:hAnsi="宋体"/>
          <w:sz w:val="24"/>
        </w:rPr>
      </w:pPr>
      <w:r>
        <w:rPr>
          <w:rFonts w:hint="eastAsia" w:ascii="宋体" w:hAnsi="宋体"/>
          <w:sz w:val="24"/>
        </w:rPr>
        <w:t>1、货款结算方式:</w:t>
      </w:r>
      <w:r>
        <w:rPr>
          <w:rFonts w:hint="eastAsia" w:ascii="宋体" w:hAnsi="宋体"/>
          <w:sz w:val="24"/>
          <w:u w:val="single"/>
        </w:rPr>
        <w:t xml:space="preserve"> 自行结算  </w:t>
      </w:r>
      <w:r>
        <w:rPr>
          <w:rFonts w:hint="eastAsia" w:ascii="宋体" w:hAnsi="宋体"/>
          <w:sz w:val="24"/>
        </w:rPr>
        <w:t>；</w:t>
      </w:r>
    </w:p>
    <w:p w14:paraId="36234116">
      <w:pPr>
        <w:spacing w:line="480" w:lineRule="exact"/>
        <w:ind w:firstLine="480" w:firstLineChars="200"/>
        <w:rPr>
          <w:rFonts w:ascii="宋体" w:hAnsi="宋体"/>
          <w:sz w:val="24"/>
        </w:rPr>
      </w:pPr>
      <w:r>
        <w:rPr>
          <w:rFonts w:hint="eastAsia" w:ascii="宋体" w:hAnsi="宋体"/>
          <w:sz w:val="24"/>
        </w:rPr>
        <w:t>2、货款结算期限及办法:</w:t>
      </w:r>
      <w:r>
        <w:rPr>
          <w:rFonts w:hint="eastAsia" w:ascii="宋体" w:hAnsi="宋体"/>
          <w:sz w:val="24"/>
          <w:u w:val="single"/>
          <w:lang w:eastAsia="zh-CN"/>
        </w:rPr>
        <w:t>竞得</w:t>
      </w:r>
      <w:r>
        <w:rPr>
          <w:rFonts w:hint="eastAsia" w:ascii="宋体" w:hAnsi="宋体"/>
          <w:sz w:val="24"/>
          <w:u w:val="single"/>
        </w:rPr>
        <w:t>后</w:t>
      </w:r>
      <w:r>
        <w:rPr>
          <w:rFonts w:hint="eastAsia" w:ascii="宋体" w:hAnsi="宋体"/>
          <w:sz w:val="24"/>
          <w:u w:val="single"/>
          <w:lang w:val="en-US" w:eastAsia="zh-CN"/>
        </w:rPr>
        <w:t>八</w:t>
      </w:r>
      <w:r>
        <w:rPr>
          <w:rFonts w:hint="eastAsia" w:ascii="宋体" w:hAnsi="宋体"/>
          <w:sz w:val="24"/>
          <w:u w:val="single"/>
        </w:rPr>
        <w:t>日内签订合同，随后根据款到发货的方式提货</w:t>
      </w:r>
      <w:r>
        <w:rPr>
          <w:rFonts w:hint="eastAsia" w:ascii="宋体" w:hAnsi="宋体"/>
          <w:sz w:val="24"/>
          <w:u w:val="single"/>
          <w:lang w:eastAsia="zh-CN"/>
        </w:rPr>
        <w:t>，竞得</w:t>
      </w:r>
      <w:r>
        <w:rPr>
          <w:rFonts w:hint="eastAsia" w:ascii="宋体" w:hAnsi="宋体"/>
          <w:sz w:val="24"/>
          <w:u w:val="single"/>
        </w:rPr>
        <w:t>方必须在20</w:t>
      </w:r>
      <w:r>
        <w:rPr>
          <w:rFonts w:hint="eastAsia" w:ascii="宋体" w:hAnsi="宋体"/>
          <w:sz w:val="24"/>
          <w:u w:val="single"/>
          <w:lang w:val="en-US" w:eastAsia="zh-CN"/>
        </w:rPr>
        <w:t>25</w:t>
      </w:r>
      <w:r>
        <w:rPr>
          <w:rFonts w:hint="eastAsia" w:ascii="宋体" w:hAnsi="宋体"/>
          <w:sz w:val="24"/>
          <w:u w:val="single"/>
        </w:rPr>
        <w:t>年</w:t>
      </w:r>
      <w:r>
        <w:rPr>
          <w:rFonts w:hint="eastAsia" w:ascii="宋体" w:hAnsi="宋体"/>
          <w:sz w:val="24"/>
          <w:u w:val="single"/>
          <w:lang w:val="en-US" w:eastAsia="zh-CN"/>
        </w:rPr>
        <w:t>11</w:t>
      </w:r>
      <w:r>
        <w:rPr>
          <w:rFonts w:hint="eastAsia" w:ascii="宋体" w:hAnsi="宋体"/>
          <w:sz w:val="24"/>
          <w:u w:val="single"/>
        </w:rPr>
        <w:t>月</w:t>
      </w:r>
      <w:r>
        <w:rPr>
          <w:rFonts w:hint="eastAsia" w:ascii="宋体" w:hAnsi="宋体"/>
          <w:sz w:val="24"/>
          <w:u w:val="single"/>
          <w:lang w:val="en-US" w:eastAsia="zh-CN"/>
        </w:rPr>
        <w:t>6</w:t>
      </w:r>
      <w:r>
        <w:rPr>
          <w:rFonts w:hint="eastAsia" w:ascii="宋体" w:hAnsi="宋体"/>
          <w:sz w:val="24"/>
          <w:u w:val="single"/>
        </w:rPr>
        <w:t>日</w:t>
      </w:r>
      <w:r>
        <w:rPr>
          <w:rFonts w:hint="eastAsia" w:ascii="宋体" w:hAnsi="宋体"/>
          <w:sz w:val="24"/>
          <w:u w:val="single"/>
          <w:lang w:val="en-US" w:eastAsia="zh-CN"/>
        </w:rPr>
        <w:t>前</w:t>
      </w:r>
      <w:r>
        <w:rPr>
          <w:rFonts w:hint="eastAsia" w:ascii="宋体" w:hAnsi="宋体"/>
          <w:sz w:val="24"/>
          <w:u w:val="single"/>
        </w:rPr>
        <w:t>向委托方支付</w:t>
      </w:r>
      <w:r>
        <w:rPr>
          <w:rFonts w:hint="eastAsia" w:ascii="宋体" w:hAnsi="宋体"/>
          <w:sz w:val="24"/>
          <w:u w:val="single"/>
          <w:lang w:eastAsia="zh-CN"/>
        </w:rPr>
        <w:t>全部</w:t>
      </w:r>
      <w:r>
        <w:rPr>
          <w:rFonts w:hint="eastAsia" w:ascii="宋体" w:hAnsi="宋体"/>
          <w:sz w:val="24"/>
          <w:u w:val="single"/>
        </w:rPr>
        <w:t>货款。</w:t>
      </w:r>
    </w:p>
    <w:p w14:paraId="6DCA63F9">
      <w:pPr>
        <w:spacing w:line="480" w:lineRule="exact"/>
        <w:ind w:firstLine="560" w:firstLineChars="200"/>
        <w:rPr>
          <w:rFonts w:hint="eastAsia" w:ascii="黑体" w:hAnsi="宋体" w:eastAsia="黑体"/>
          <w:sz w:val="28"/>
        </w:rPr>
      </w:pPr>
      <w:r>
        <w:rPr>
          <w:rFonts w:hint="eastAsia" w:ascii="黑体" w:hAnsi="宋体" w:eastAsia="黑体"/>
          <w:sz w:val="28"/>
          <w:lang w:val="en-US" w:eastAsia="zh-CN"/>
        </w:rPr>
        <w:t>四</w:t>
      </w:r>
      <w:r>
        <w:rPr>
          <w:rFonts w:hint="eastAsia" w:ascii="黑体" w:hAnsi="宋体" w:eastAsia="黑体"/>
          <w:sz w:val="28"/>
        </w:rPr>
        <w:t>、违约责任</w:t>
      </w:r>
    </w:p>
    <w:p w14:paraId="3562ED1C">
      <w:pPr>
        <w:spacing w:line="480" w:lineRule="exact"/>
        <w:ind w:firstLine="480" w:firstLineChars="200"/>
        <w:rPr>
          <w:rFonts w:hint="eastAsia" w:ascii="宋体" w:hAnsi="宋体" w:eastAsia="宋体"/>
          <w:sz w:val="24"/>
        </w:rPr>
      </w:pPr>
      <w:r>
        <w:rPr>
          <w:rFonts w:hint="eastAsia" w:ascii="宋体" w:hAnsi="宋体" w:eastAsia="宋体"/>
          <w:sz w:val="24"/>
        </w:rPr>
        <w:t>1、逾期签订合同，违约方按违约处理。</w:t>
      </w:r>
    </w:p>
    <w:p w14:paraId="19C63213">
      <w:pPr>
        <w:keepNext w:val="0"/>
        <w:keepLines w:val="0"/>
        <w:pageBreakBefore w:val="0"/>
        <w:widowControl w:val="0"/>
        <w:shd w:val="clear"/>
        <w:kinsoku/>
        <w:wordWrap/>
        <w:overflowPunct/>
        <w:topLinePunct w:val="0"/>
        <w:autoSpaceDE/>
        <w:autoSpaceDN/>
        <w:bidi w:val="0"/>
        <w:adjustRightInd/>
        <w:spacing w:line="520" w:lineRule="exact"/>
        <w:ind w:left="0" w:firstLine="480" w:firstLineChars="200"/>
        <w:textAlignment w:val="auto"/>
        <w:rPr>
          <w:rFonts w:hint="default" w:ascii="宋体" w:hAnsi="宋体" w:eastAsia="宋体" w:cs="Times New Roman"/>
          <w:sz w:val="24"/>
          <w:lang w:val="en-US" w:eastAsia="zh-CN"/>
        </w:rPr>
      </w:pPr>
      <w:r>
        <w:rPr>
          <w:rFonts w:hint="eastAsia" w:ascii="宋体" w:hAnsi="宋体" w:eastAsia="宋体"/>
          <w:sz w:val="24"/>
        </w:rPr>
        <w:t>2、</w:t>
      </w:r>
      <w:r>
        <w:rPr>
          <w:rFonts w:hint="eastAsia" w:ascii="宋体" w:hAnsi="宋体"/>
          <w:sz w:val="24"/>
          <w:lang w:eastAsia="zh-CN"/>
        </w:rPr>
        <w:t>竞得</w:t>
      </w:r>
      <w:r>
        <w:rPr>
          <w:rFonts w:hint="eastAsia" w:ascii="宋体" w:hAnsi="宋体" w:eastAsia="宋体"/>
          <w:sz w:val="24"/>
        </w:rPr>
        <w:t>方不能按规定的货款结算期限及办法支付货款的视作违约，委托方有权单方面终止合同，并对货物享有处置权，同时，</w:t>
      </w:r>
      <w:r>
        <w:rPr>
          <w:rFonts w:hint="eastAsia" w:ascii="宋体" w:hAnsi="宋体"/>
          <w:sz w:val="24"/>
          <w:lang w:eastAsia="zh-CN"/>
        </w:rPr>
        <w:t>竞得</w:t>
      </w:r>
      <w:r>
        <w:rPr>
          <w:rFonts w:hint="eastAsia" w:ascii="宋体" w:hAnsi="宋体" w:eastAsia="宋体"/>
          <w:sz w:val="24"/>
        </w:rPr>
        <w:t>方缴纳的该标的物的履约保证金全额抵作违约金赔付给委托方。3、逾期提货处理：买方必须在提货截止日内提货完毕（除卖方或特殊原因外），否则卖方可采取以下方法处理，（1）卖方有权单方面终止合同，并对标的内货物享有处置权，同时未完成提货部分粮</w:t>
      </w:r>
      <w:r>
        <w:rPr>
          <w:rFonts w:hint="eastAsia" w:ascii="宋体" w:hAnsi="宋体"/>
          <w:sz w:val="24"/>
          <w:lang w:val="en-US" w:eastAsia="zh-CN"/>
        </w:rPr>
        <w:t>油</w:t>
      </w:r>
      <w:r>
        <w:rPr>
          <w:rFonts w:hint="eastAsia" w:ascii="宋体" w:hAnsi="宋体" w:eastAsia="宋体"/>
          <w:sz w:val="24"/>
        </w:rPr>
        <w:t>的履约保证金抵作违约金赔付给委托方。或（2）超过提货截止日</w:t>
      </w:r>
      <w:r>
        <w:rPr>
          <w:rFonts w:hint="eastAsia" w:ascii="宋体" w:hAnsi="宋体"/>
          <w:sz w:val="24"/>
          <w:lang w:eastAsia="zh-CN"/>
        </w:rPr>
        <w:t>，</w:t>
      </w:r>
      <w:r>
        <w:rPr>
          <w:rFonts w:hint="eastAsia" w:ascii="宋体" w:hAnsi="宋体" w:eastAsia="宋体"/>
          <w:sz w:val="24"/>
        </w:rPr>
        <w:t>仓储费</w:t>
      </w:r>
      <w:r>
        <w:rPr>
          <w:rFonts w:hint="eastAsia" w:ascii="宋体" w:hAnsi="宋体" w:eastAsia="宋体"/>
          <w:sz w:val="24"/>
          <w:lang w:eastAsia="zh-CN"/>
        </w:rPr>
        <w:t>由买方交付代储单位</w:t>
      </w:r>
      <w:r>
        <w:rPr>
          <w:rFonts w:hint="eastAsia" w:ascii="宋体" w:hAnsi="宋体" w:eastAsia="宋体"/>
          <w:sz w:val="24"/>
        </w:rPr>
        <w:t>。</w:t>
      </w:r>
      <w:r>
        <w:rPr>
          <w:rFonts w:hint="eastAsia" w:ascii="宋体" w:hAnsi="宋体" w:eastAsia="宋体"/>
          <w:sz w:val="24"/>
          <w:lang w:val="en-US" w:eastAsia="zh-CN"/>
        </w:rPr>
        <w:t>如买方拒绝与代储单位交付，延期提货仓库占用费从履约保证金中扣除</w:t>
      </w:r>
      <w:r>
        <w:rPr>
          <w:rFonts w:hint="eastAsia" w:ascii="宋体" w:hAnsi="宋体" w:eastAsia="宋体" w:cs="Tahoma"/>
          <w:color w:val="auto"/>
          <w:sz w:val="21"/>
          <w:szCs w:val="21"/>
        </w:rPr>
        <w:t>。</w:t>
      </w:r>
      <w:r>
        <w:rPr>
          <w:rFonts w:hint="eastAsia" w:ascii="宋体" w:hAnsi="宋体" w:eastAsia="宋体"/>
          <w:sz w:val="24"/>
        </w:rPr>
        <w:t>履约保证金扣完后，如</w:t>
      </w:r>
      <w:r>
        <w:rPr>
          <w:rFonts w:hint="eastAsia" w:ascii="宋体" w:hAnsi="宋体"/>
          <w:sz w:val="24"/>
          <w:lang w:eastAsia="zh-CN"/>
        </w:rPr>
        <w:t>竞得</w:t>
      </w:r>
      <w:r>
        <w:rPr>
          <w:rFonts w:hint="eastAsia" w:ascii="宋体" w:hAnsi="宋体" w:eastAsia="宋体"/>
          <w:sz w:val="24"/>
        </w:rPr>
        <w:t>方仍未提清成交粮</w:t>
      </w:r>
      <w:r>
        <w:rPr>
          <w:rFonts w:hint="eastAsia" w:ascii="宋体" w:hAnsi="宋体"/>
          <w:sz w:val="24"/>
          <w:lang w:val="en-US" w:eastAsia="zh-CN"/>
        </w:rPr>
        <w:t>油</w:t>
      </w:r>
      <w:r>
        <w:rPr>
          <w:rFonts w:hint="eastAsia" w:ascii="宋体" w:hAnsi="宋体" w:eastAsia="宋体"/>
          <w:sz w:val="24"/>
        </w:rPr>
        <w:t>，原则上按</w:t>
      </w:r>
      <w:r>
        <w:rPr>
          <w:rFonts w:hint="eastAsia" w:ascii="宋体" w:hAnsi="宋体"/>
          <w:sz w:val="24"/>
          <w:lang w:eastAsia="zh-CN"/>
        </w:rPr>
        <w:t>竞得</w:t>
      </w:r>
      <w:r>
        <w:rPr>
          <w:rFonts w:hint="eastAsia" w:ascii="宋体" w:hAnsi="宋体" w:eastAsia="宋体"/>
          <w:sz w:val="24"/>
        </w:rPr>
        <w:t>方违约处理。延期提货粮</w:t>
      </w:r>
      <w:r>
        <w:rPr>
          <w:rFonts w:hint="eastAsia" w:ascii="宋体" w:hAnsi="宋体"/>
          <w:sz w:val="24"/>
          <w:lang w:val="en-US" w:eastAsia="zh-CN"/>
        </w:rPr>
        <w:t>油</w:t>
      </w:r>
      <w:r>
        <w:rPr>
          <w:rFonts w:hint="eastAsia" w:ascii="宋体" w:hAnsi="宋体" w:eastAsia="宋体"/>
          <w:sz w:val="24"/>
        </w:rPr>
        <w:t>质量由</w:t>
      </w:r>
      <w:r>
        <w:rPr>
          <w:rFonts w:hint="eastAsia" w:ascii="宋体" w:hAnsi="宋体"/>
          <w:sz w:val="24"/>
          <w:lang w:eastAsia="zh-CN"/>
        </w:rPr>
        <w:t>竞得</w:t>
      </w:r>
      <w:r>
        <w:rPr>
          <w:rFonts w:hint="eastAsia" w:ascii="宋体" w:hAnsi="宋体" w:eastAsia="宋体"/>
          <w:sz w:val="24"/>
        </w:rPr>
        <w:t>方负责。</w:t>
      </w:r>
      <w:r>
        <w:rPr>
          <w:rFonts w:hint="default" w:ascii="宋体" w:hAnsi="宋体" w:eastAsia="宋体" w:cs="Times New Roman"/>
          <w:sz w:val="24"/>
          <w:lang w:val="en-US" w:eastAsia="zh-CN"/>
        </w:rPr>
        <w:t>超过提货截止日后市粮食物资公司不承担保管责任,由此产生的保管费用以及因此造成的损失由</w:t>
      </w:r>
      <w:r>
        <w:rPr>
          <w:rFonts w:hint="eastAsia" w:ascii="宋体" w:hAnsi="宋体" w:cs="Times New Roman"/>
          <w:sz w:val="24"/>
          <w:lang w:val="en-US" w:eastAsia="zh-CN"/>
        </w:rPr>
        <w:t>竞得</w:t>
      </w:r>
      <w:r>
        <w:rPr>
          <w:rFonts w:hint="eastAsia" w:ascii="宋体" w:hAnsi="宋体" w:eastAsia="宋体" w:cs="Times New Roman"/>
          <w:sz w:val="24"/>
          <w:lang w:val="en-US" w:eastAsia="zh-CN"/>
        </w:rPr>
        <w:t>方</w:t>
      </w:r>
      <w:r>
        <w:rPr>
          <w:rFonts w:hint="default" w:ascii="宋体" w:hAnsi="宋体" w:eastAsia="宋体" w:cs="Times New Roman"/>
          <w:sz w:val="24"/>
          <w:lang w:val="en-US" w:eastAsia="zh-CN"/>
        </w:rPr>
        <w:t>自行承担；并从截至日起与代储库点自行沟通具体费用结算事项，由此带来的费用由</w:t>
      </w:r>
      <w:r>
        <w:rPr>
          <w:rFonts w:hint="eastAsia" w:ascii="宋体" w:hAnsi="宋体" w:cs="Times New Roman"/>
          <w:sz w:val="24"/>
          <w:lang w:val="en-US" w:eastAsia="zh-CN"/>
        </w:rPr>
        <w:t>竞得</w:t>
      </w:r>
      <w:r>
        <w:rPr>
          <w:rFonts w:hint="eastAsia" w:ascii="宋体" w:hAnsi="宋体" w:eastAsia="宋体" w:cs="Times New Roman"/>
          <w:sz w:val="24"/>
          <w:lang w:val="en-US" w:eastAsia="zh-CN"/>
        </w:rPr>
        <w:t>方</w:t>
      </w:r>
      <w:r>
        <w:rPr>
          <w:rFonts w:hint="default" w:ascii="宋体" w:hAnsi="宋体" w:eastAsia="宋体" w:cs="Times New Roman"/>
          <w:sz w:val="24"/>
          <w:lang w:val="en-US" w:eastAsia="zh-CN"/>
        </w:rPr>
        <w:t>承担。</w:t>
      </w:r>
    </w:p>
    <w:p w14:paraId="631E87C6">
      <w:pPr>
        <w:spacing w:line="480" w:lineRule="exact"/>
        <w:ind w:firstLine="562" w:firstLineChars="200"/>
        <w:rPr>
          <w:rFonts w:ascii="黑体" w:hAnsi="宋体" w:eastAsia="黑体"/>
          <w:sz w:val="28"/>
        </w:rPr>
      </w:pPr>
      <w:r>
        <w:rPr>
          <w:rFonts w:hint="eastAsia" w:ascii="黑体" w:hAnsi="宋体" w:eastAsia="黑体"/>
          <w:b/>
          <w:sz w:val="28"/>
          <w:lang w:val="en-US" w:eastAsia="zh-CN"/>
        </w:rPr>
        <w:t>五</w:t>
      </w:r>
      <w:r>
        <w:rPr>
          <w:rFonts w:hint="eastAsia" w:ascii="黑体" w:hAnsi="宋体" w:eastAsia="黑体"/>
          <w:b/>
          <w:sz w:val="28"/>
          <w:lang w:eastAsia="zh-CN"/>
        </w:rPr>
        <w:t>、</w:t>
      </w:r>
      <w:r>
        <w:rPr>
          <w:rFonts w:hint="eastAsia" w:ascii="黑体" w:hAnsi="宋体" w:eastAsia="黑体"/>
          <w:b/>
          <w:sz w:val="28"/>
        </w:rPr>
        <w:t>其它说明</w:t>
      </w:r>
    </w:p>
    <w:p w14:paraId="08D0B9F1">
      <w:pPr>
        <w:spacing w:line="480" w:lineRule="exact"/>
        <w:ind w:firstLine="480" w:firstLineChars="200"/>
        <w:rPr>
          <w:rFonts w:ascii="宋体" w:hAnsi="宋体" w:eastAsia="宋体"/>
          <w:sz w:val="24"/>
        </w:rPr>
      </w:pPr>
      <w:r>
        <w:rPr>
          <w:rFonts w:hint="eastAsia" w:ascii="宋体" w:hAnsi="宋体" w:eastAsia="宋体"/>
          <w:sz w:val="24"/>
          <w:u w:val="single"/>
          <w:lang w:val="en-US" w:eastAsia="zh-CN"/>
        </w:rPr>
        <w:t>1</w:t>
      </w:r>
      <w:r>
        <w:rPr>
          <w:rFonts w:hint="eastAsia" w:ascii="宋体" w:hAnsi="宋体" w:eastAsia="宋体"/>
          <w:sz w:val="24"/>
          <w:u w:val="single"/>
        </w:rPr>
        <w:t>、起始价、成交价均指含税含发票含提货仓库提货</w:t>
      </w:r>
      <w:r>
        <w:rPr>
          <w:rFonts w:ascii="宋体" w:hAnsi="宋体" w:eastAsia="宋体"/>
          <w:sz w:val="24"/>
          <w:u w:val="single"/>
        </w:rPr>
        <w:t>的</w:t>
      </w:r>
      <w:r>
        <w:rPr>
          <w:rFonts w:hint="eastAsia" w:ascii="宋体" w:hAnsi="宋体" w:eastAsia="宋体"/>
          <w:sz w:val="24"/>
          <w:u w:val="single"/>
        </w:rPr>
        <w:t>汽车板前费。</w:t>
      </w:r>
    </w:p>
    <w:p w14:paraId="7C3B30E5">
      <w:pPr>
        <w:spacing w:line="480" w:lineRule="exact"/>
        <w:ind w:firstLine="480" w:firstLineChars="200"/>
        <w:rPr>
          <w:rFonts w:ascii="宋体" w:hAnsi="宋体" w:eastAsia="宋体"/>
          <w:sz w:val="24"/>
        </w:rPr>
      </w:pPr>
      <w:r>
        <w:rPr>
          <w:rFonts w:hint="eastAsia" w:ascii="宋体" w:hAnsi="宋体" w:eastAsia="宋体"/>
          <w:sz w:val="24"/>
          <w:lang w:val="en-US" w:eastAsia="zh-CN"/>
        </w:rPr>
        <w:t>2</w:t>
      </w:r>
      <w:r>
        <w:rPr>
          <w:rFonts w:hint="eastAsia" w:ascii="宋体" w:hAnsi="宋体" w:eastAsia="宋体"/>
          <w:sz w:val="24"/>
        </w:rPr>
        <w:t>、发票及相关税费：</w:t>
      </w:r>
      <w:r>
        <w:rPr>
          <w:rFonts w:hint="eastAsia" w:ascii="宋体" w:hAnsi="宋体" w:eastAsia="宋体"/>
          <w:sz w:val="24"/>
          <w:u w:val="single"/>
        </w:rPr>
        <w:t>提供正式销货发票（</w:t>
      </w:r>
      <w:r>
        <w:rPr>
          <w:rFonts w:hint="eastAsia" w:ascii="宋体" w:hAnsi="宋体"/>
          <w:sz w:val="24"/>
          <w:u w:val="single"/>
          <w:lang w:eastAsia="zh-CN"/>
        </w:rPr>
        <w:t>竞得</w:t>
      </w:r>
      <w:r>
        <w:rPr>
          <w:rFonts w:hint="eastAsia" w:ascii="宋体" w:hAnsi="宋体" w:eastAsia="宋体"/>
          <w:sz w:val="24"/>
          <w:u w:val="single"/>
        </w:rPr>
        <w:t>方自行到绍兴市粮</w:t>
      </w:r>
      <w:r>
        <w:rPr>
          <w:rFonts w:hint="eastAsia" w:ascii="宋体" w:hAnsi="宋体" w:eastAsia="宋体"/>
          <w:sz w:val="24"/>
          <w:u w:val="single"/>
          <w:lang w:eastAsia="zh-CN"/>
        </w:rPr>
        <w:t>食物资</w:t>
      </w:r>
      <w:r>
        <w:rPr>
          <w:rFonts w:hint="eastAsia" w:ascii="宋体" w:hAnsi="宋体" w:eastAsia="宋体"/>
          <w:sz w:val="24"/>
          <w:u w:val="single"/>
        </w:rPr>
        <w:t>管理有限公司</w:t>
      </w:r>
      <w:r>
        <w:rPr>
          <w:rFonts w:hint="eastAsia" w:ascii="宋体" w:hAnsi="宋体" w:eastAsia="宋体"/>
          <w:sz w:val="24"/>
          <w:u w:val="single"/>
          <w:lang w:eastAsia="zh-CN"/>
        </w:rPr>
        <w:t>财务</w:t>
      </w:r>
      <w:r>
        <w:rPr>
          <w:rFonts w:hint="eastAsia" w:ascii="宋体" w:hAnsi="宋体" w:eastAsia="宋体"/>
          <w:sz w:val="24"/>
          <w:u w:val="single"/>
        </w:rPr>
        <w:t>索取发票），有关印花税等税款按国家有关规定由各自自行缴纳</w:t>
      </w:r>
      <w:r>
        <w:rPr>
          <w:rFonts w:hint="eastAsia" w:ascii="宋体" w:hAnsi="宋体" w:eastAsia="宋体"/>
          <w:sz w:val="24"/>
        </w:rPr>
        <w:t xml:space="preserve">。 </w:t>
      </w:r>
    </w:p>
    <w:p w14:paraId="1506B6E8">
      <w:pPr>
        <w:spacing w:line="480" w:lineRule="exact"/>
        <w:ind w:firstLine="480" w:firstLineChars="200"/>
        <w:rPr>
          <w:rFonts w:hint="eastAsia" w:ascii="宋体" w:hAnsi="宋体" w:eastAsia="宋体"/>
          <w:color w:val="auto"/>
          <w:sz w:val="24"/>
          <w:u w:val="single"/>
        </w:rPr>
      </w:pPr>
      <w:r>
        <w:rPr>
          <w:rFonts w:hint="eastAsia" w:ascii="宋体" w:hAnsi="宋体" w:eastAsia="宋体"/>
          <w:color w:val="auto"/>
          <w:sz w:val="24"/>
          <w:lang w:val="en-US" w:eastAsia="zh-CN"/>
        </w:rPr>
        <w:t>3</w:t>
      </w:r>
      <w:r>
        <w:rPr>
          <w:rFonts w:hint="eastAsia" w:ascii="宋体" w:hAnsi="宋体" w:eastAsia="宋体"/>
          <w:color w:val="auto"/>
          <w:sz w:val="24"/>
        </w:rPr>
        <w:t>、</w:t>
      </w:r>
      <w:r>
        <w:rPr>
          <w:rFonts w:hint="eastAsia" w:ascii="宋体" w:hAnsi="宋体" w:eastAsia="宋体"/>
          <w:color w:val="auto"/>
          <w:sz w:val="24"/>
          <w:u w:val="single"/>
        </w:rPr>
        <w:t>结算方式：</w:t>
      </w:r>
    </w:p>
    <w:p w14:paraId="2395743B">
      <w:pPr>
        <w:spacing w:line="480" w:lineRule="exact"/>
        <w:ind w:firstLine="480" w:firstLineChars="200"/>
        <w:rPr>
          <w:rFonts w:hint="eastAsia" w:ascii="宋体" w:hAnsi="宋体" w:eastAsia="宋体"/>
          <w:color w:val="auto"/>
          <w:sz w:val="24"/>
          <w:u w:val="single"/>
        </w:rPr>
      </w:pPr>
      <w:r>
        <w:rPr>
          <w:rFonts w:hint="eastAsia" w:ascii="宋体" w:hAnsi="宋体" w:eastAsia="宋体"/>
          <w:color w:val="auto"/>
          <w:sz w:val="24"/>
          <w:u w:val="single"/>
        </w:rPr>
        <w:t>（1）粮</w:t>
      </w:r>
      <w:r>
        <w:rPr>
          <w:rFonts w:hint="eastAsia" w:ascii="宋体" w:hAnsi="宋体"/>
          <w:color w:val="auto"/>
          <w:sz w:val="24"/>
          <w:u w:val="single"/>
          <w:lang w:val="en-US" w:eastAsia="zh-CN"/>
        </w:rPr>
        <w:t>油</w:t>
      </w:r>
      <w:r>
        <w:rPr>
          <w:rFonts w:hint="eastAsia" w:ascii="宋体" w:hAnsi="宋体" w:eastAsia="宋体"/>
          <w:color w:val="auto"/>
          <w:sz w:val="24"/>
          <w:u w:val="single"/>
        </w:rPr>
        <w:t>短少：如为整仓销售的，该仓发货总数少于标的数量的，由卖方向买方按成交价格退还不足部分的货款；如该仓为分标销售的，卖方原则上按照提货顺序足量发货，该仓最后一个提货单位提货数量少于标的数量的，由卖方负责向该提货单位按该提货单位本仓成交价格（如其</w:t>
      </w:r>
      <w:r>
        <w:rPr>
          <w:rFonts w:hint="eastAsia" w:ascii="宋体" w:hAnsi="宋体"/>
          <w:color w:val="auto"/>
          <w:sz w:val="24"/>
          <w:u w:val="single"/>
          <w:lang w:eastAsia="zh-CN"/>
        </w:rPr>
        <w:t>竞得</w:t>
      </w:r>
      <w:r>
        <w:rPr>
          <w:rFonts w:hint="eastAsia" w:ascii="宋体" w:hAnsi="宋体" w:eastAsia="宋体"/>
          <w:color w:val="auto"/>
          <w:sz w:val="24"/>
          <w:u w:val="single"/>
        </w:rPr>
        <w:t>两个及以上标的的按算术平均价）退还不足部分的货款。</w:t>
      </w:r>
    </w:p>
    <w:p w14:paraId="64BA31DB">
      <w:pPr>
        <w:spacing w:line="480" w:lineRule="exact"/>
        <w:ind w:firstLine="480" w:firstLineChars="200"/>
        <w:rPr>
          <w:rFonts w:ascii="宋体" w:hAnsi="宋体" w:eastAsia="宋体"/>
          <w:color w:val="auto"/>
          <w:sz w:val="24"/>
          <w:u w:val="single"/>
        </w:rPr>
      </w:pPr>
      <w:r>
        <w:rPr>
          <w:rFonts w:hint="eastAsia" w:ascii="宋体" w:hAnsi="宋体" w:eastAsia="宋体"/>
          <w:color w:val="auto"/>
          <w:sz w:val="24"/>
          <w:u w:val="single"/>
        </w:rPr>
        <w:t>（2）粮</w:t>
      </w:r>
      <w:r>
        <w:rPr>
          <w:rFonts w:hint="eastAsia" w:ascii="宋体" w:hAnsi="宋体"/>
          <w:color w:val="auto"/>
          <w:sz w:val="24"/>
          <w:u w:val="single"/>
          <w:lang w:val="en-US" w:eastAsia="zh-CN"/>
        </w:rPr>
        <w:t>油</w:t>
      </w:r>
      <w:r>
        <w:rPr>
          <w:rFonts w:hint="eastAsia" w:ascii="宋体" w:hAnsi="宋体" w:eastAsia="宋体"/>
          <w:color w:val="auto"/>
          <w:sz w:val="24"/>
          <w:u w:val="single"/>
        </w:rPr>
        <w:t>溢余：如为整仓销售的，该仓足量发货完成后仍有溢余的，溢余部分由买方按照成交价格提货，货款由卖方收取；如该仓为分标销售的，该仓最后一个提货单位足量提货完成后仍有溢余的，溢余部分由该提货单位按本仓成交价格（如其</w:t>
      </w:r>
      <w:r>
        <w:rPr>
          <w:rFonts w:hint="eastAsia" w:ascii="宋体" w:hAnsi="宋体"/>
          <w:color w:val="auto"/>
          <w:sz w:val="24"/>
          <w:u w:val="single"/>
          <w:lang w:eastAsia="zh-CN"/>
        </w:rPr>
        <w:t>竞得</w:t>
      </w:r>
      <w:r>
        <w:rPr>
          <w:rFonts w:hint="eastAsia" w:ascii="宋体" w:hAnsi="宋体" w:eastAsia="宋体"/>
          <w:color w:val="auto"/>
          <w:sz w:val="24"/>
          <w:u w:val="single"/>
        </w:rPr>
        <w:t>两个及以上标的的按算术平均价）提货，货款由卖方收取。</w:t>
      </w:r>
    </w:p>
    <w:p w14:paraId="545738B6">
      <w:pPr>
        <w:spacing w:line="480" w:lineRule="exact"/>
        <w:ind w:firstLine="480" w:firstLineChars="200"/>
        <w:rPr>
          <w:rFonts w:ascii="宋体" w:hAnsi="宋体" w:eastAsia="宋体"/>
          <w:sz w:val="24"/>
        </w:rPr>
      </w:pPr>
      <w:r>
        <w:rPr>
          <w:rFonts w:hint="eastAsia" w:ascii="宋体" w:hAnsi="宋体" w:eastAsia="宋体"/>
          <w:sz w:val="24"/>
          <w:lang w:val="en-US" w:eastAsia="zh-CN"/>
        </w:rPr>
        <w:t>4</w:t>
      </w:r>
      <w:r>
        <w:rPr>
          <w:rFonts w:hint="eastAsia" w:ascii="宋体" w:hAnsi="宋体" w:eastAsia="宋体"/>
          <w:sz w:val="24"/>
        </w:rPr>
        <w:t>、</w:t>
      </w:r>
      <w:r>
        <w:rPr>
          <w:rFonts w:hint="eastAsia" w:ascii="宋体" w:hAnsi="宋体" w:eastAsia="宋体"/>
          <w:sz w:val="24"/>
          <w:u w:val="single"/>
        </w:rPr>
        <w:t>由代储单位提供仓库占用费的正式发票或加盖企业财务章的收款收据。</w:t>
      </w:r>
    </w:p>
    <w:p w14:paraId="1EF44F63">
      <w:pPr>
        <w:spacing w:line="480" w:lineRule="exact"/>
      </w:pPr>
    </w:p>
    <w:p w14:paraId="0BA26D53">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cs="宋体"/>
          <w:color w:val="000000"/>
          <w:kern w:val="0"/>
          <w:sz w:val="24"/>
        </w:rPr>
        <w:t>国家粮食浙江交易中心绍兴分中心</w:t>
      </w:r>
    </w:p>
    <w:p w14:paraId="0F92BE5D">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sz w:val="24"/>
        </w:rPr>
        <w:t>国家粮食浙江交易中心</w:t>
      </w:r>
    </w:p>
    <w:p w14:paraId="690A83C9">
      <w:pPr>
        <w:adjustRightInd w:val="0"/>
        <w:snapToGrid w:val="0"/>
        <w:spacing w:line="420" w:lineRule="exact"/>
        <w:ind w:firstLine="480" w:firstLineChars="200"/>
        <w:jc w:val="right"/>
        <w:rPr>
          <w:rFonts w:ascii="宋体" w:hAnsi="宋体"/>
          <w:sz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十月二十七</w:t>
      </w:r>
      <w:r>
        <w:rPr>
          <w:rFonts w:hint="eastAsia" w:ascii="宋体" w:hAnsi="宋体"/>
          <w:sz w:val="24"/>
        </w:rPr>
        <w:t>日</w:t>
      </w:r>
    </w:p>
    <w:p w14:paraId="50E9DB97">
      <w:pPr>
        <w:spacing w:line="480" w:lineRule="exac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B87AC9"/>
    <w:multiLevelType w:val="singleLevel"/>
    <w:tmpl w:val="E5B87AC9"/>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FmMDE3OWE1NjViMmI3M2QzM2M4MTY1ZTMwMzYyYzgifQ=="/>
  </w:docVars>
  <w:rsids>
    <w:rsidRoot w:val="0002515C"/>
    <w:rsid w:val="000106E9"/>
    <w:rsid w:val="00016273"/>
    <w:rsid w:val="0002515C"/>
    <w:rsid w:val="0006076B"/>
    <w:rsid w:val="000C39DA"/>
    <w:rsid w:val="000C4FB2"/>
    <w:rsid w:val="000D28CC"/>
    <w:rsid w:val="000E1DD2"/>
    <w:rsid w:val="00100697"/>
    <w:rsid w:val="00111BFD"/>
    <w:rsid w:val="0011252C"/>
    <w:rsid w:val="00114BCB"/>
    <w:rsid w:val="00115509"/>
    <w:rsid w:val="0013319A"/>
    <w:rsid w:val="00144A8B"/>
    <w:rsid w:val="00150C0C"/>
    <w:rsid w:val="001818B7"/>
    <w:rsid w:val="001C1C37"/>
    <w:rsid w:val="001D41A5"/>
    <w:rsid w:val="001E57B1"/>
    <w:rsid w:val="001E699A"/>
    <w:rsid w:val="001F205E"/>
    <w:rsid w:val="001F20F2"/>
    <w:rsid w:val="00236E51"/>
    <w:rsid w:val="002403AD"/>
    <w:rsid w:val="00245AC6"/>
    <w:rsid w:val="00246B33"/>
    <w:rsid w:val="002731C1"/>
    <w:rsid w:val="002855CD"/>
    <w:rsid w:val="00290DE7"/>
    <w:rsid w:val="002A1E4A"/>
    <w:rsid w:val="002B2A3A"/>
    <w:rsid w:val="002E6350"/>
    <w:rsid w:val="002F2C9B"/>
    <w:rsid w:val="003144F5"/>
    <w:rsid w:val="00315F13"/>
    <w:rsid w:val="00331C90"/>
    <w:rsid w:val="0033279A"/>
    <w:rsid w:val="00344E59"/>
    <w:rsid w:val="00356D61"/>
    <w:rsid w:val="003629F7"/>
    <w:rsid w:val="00395B81"/>
    <w:rsid w:val="003E65B3"/>
    <w:rsid w:val="004065AE"/>
    <w:rsid w:val="0042637D"/>
    <w:rsid w:val="00437A7F"/>
    <w:rsid w:val="00451CBF"/>
    <w:rsid w:val="00452C57"/>
    <w:rsid w:val="00465169"/>
    <w:rsid w:val="00471757"/>
    <w:rsid w:val="00485891"/>
    <w:rsid w:val="004A6D31"/>
    <w:rsid w:val="004B4F2C"/>
    <w:rsid w:val="004D185B"/>
    <w:rsid w:val="004F77B6"/>
    <w:rsid w:val="0051418F"/>
    <w:rsid w:val="005171E2"/>
    <w:rsid w:val="00527001"/>
    <w:rsid w:val="00535748"/>
    <w:rsid w:val="005459FB"/>
    <w:rsid w:val="0055172E"/>
    <w:rsid w:val="005B6179"/>
    <w:rsid w:val="005C7A27"/>
    <w:rsid w:val="005E2D78"/>
    <w:rsid w:val="00602125"/>
    <w:rsid w:val="00614AFB"/>
    <w:rsid w:val="006611A4"/>
    <w:rsid w:val="0066524D"/>
    <w:rsid w:val="0067678A"/>
    <w:rsid w:val="006A71C4"/>
    <w:rsid w:val="006C4D6D"/>
    <w:rsid w:val="006E41A5"/>
    <w:rsid w:val="00706202"/>
    <w:rsid w:val="00751173"/>
    <w:rsid w:val="007660B8"/>
    <w:rsid w:val="007665AB"/>
    <w:rsid w:val="00780A30"/>
    <w:rsid w:val="00781EF7"/>
    <w:rsid w:val="00794B7A"/>
    <w:rsid w:val="0079606B"/>
    <w:rsid w:val="007A74C6"/>
    <w:rsid w:val="007F5C82"/>
    <w:rsid w:val="00837D9B"/>
    <w:rsid w:val="0084794C"/>
    <w:rsid w:val="00883D0E"/>
    <w:rsid w:val="00896117"/>
    <w:rsid w:val="008B117C"/>
    <w:rsid w:val="008D4FBD"/>
    <w:rsid w:val="008D5568"/>
    <w:rsid w:val="008F595B"/>
    <w:rsid w:val="009222A7"/>
    <w:rsid w:val="00941D99"/>
    <w:rsid w:val="0094748D"/>
    <w:rsid w:val="00950B75"/>
    <w:rsid w:val="009533DF"/>
    <w:rsid w:val="009718A9"/>
    <w:rsid w:val="00976878"/>
    <w:rsid w:val="00984680"/>
    <w:rsid w:val="009B514D"/>
    <w:rsid w:val="009B55F6"/>
    <w:rsid w:val="009F22D2"/>
    <w:rsid w:val="00A14921"/>
    <w:rsid w:val="00A65297"/>
    <w:rsid w:val="00A978C2"/>
    <w:rsid w:val="00AA3FA8"/>
    <w:rsid w:val="00AC084C"/>
    <w:rsid w:val="00AE2A4A"/>
    <w:rsid w:val="00B030CC"/>
    <w:rsid w:val="00B516B9"/>
    <w:rsid w:val="00B55E94"/>
    <w:rsid w:val="00B61785"/>
    <w:rsid w:val="00B72CC4"/>
    <w:rsid w:val="00B928CC"/>
    <w:rsid w:val="00BA26E7"/>
    <w:rsid w:val="00BA3F46"/>
    <w:rsid w:val="00BB5434"/>
    <w:rsid w:val="00BD49EF"/>
    <w:rsid w:val="00C15B08"/>
    <w:rsid w:val="00C4597C"/>
    <w:rsid w:val="00C476B3"/>
    <w:rsid w:val="00C70BCB"/>
    <w:rsid w:val="00CA5593"/>
    <w:rsid w:val="00CB5874"/>
    <w:rsid w:val="00CC6A32"/>
    <w:rsid w:val="00CC7732"/>
    <w:rsid w:val="00CE0698"/>
    <w:rsid w:val="00CE75FF"/>
    <w:rsid w:val="00D4646E"/>
    <w:rsid w:val="00D47833"/>
    <w:rsid w:val="00DA4EFA"/>
    <w:rsid w:val="00DB256A"/>
    <w:rsid w:val="00DC018F"/>
    <w:rsid w:val="00DC1423"/>
    <w:rsid w:val="00DE3F2C"/>
    <w:rsid w:val="00DE6195"/>
    <w:rsid w:val="00E154BF"/>
    <w:rsid w:val="00E176DF"/>
    <w:rsid w:val="00E34265"/>
    <w:rsid w:val="00E342B9"/>
    <w:rsid w:val="00E92A39"/>
    <w:rsid w:val="00E9631D"/>
    <w:rsid w:val="00ED0571"/>
    <w:rsid w:val="00ED31FA"/>
    <w:rsid w:val="00EF102A"/>
    <w:rsid w:val="00F10C17"/>
    <w:rsid w:val="00F2535E"/>
    <w:rsid w:val="00F2761A"/>
    <w:rsid w:val="00F368C5"/>
    <w:rsid w:val="00F374F0"/>
    <w:rsid w:val="00F40A16"/>
    <w:rsid w:val="00F60E25"/>
    <w:rsid w:val="00F63E8E"/>
    <w:rsid w:val="00F72131"/>
    <w:rsid w:val="00F723D6"/>
    <w:rsid w:val="00F72B3F"/>
    <w:rsid w:val="00F85DF2"/>
    <w:rsid w:val="00F9749B"/>
    <w:rsid w:val="00FA4056"/>
    <w:rsid w:val="00FE299D"/>
    <w:rsid w:val="00FE3D58"/>
    <w:rsid w:val="00FF046D"/>
    <w:rsid w:val="01AB1013"/>
    <w:rsid w:val="0428591F"/>
    <w:rsid w:val="063A76D0"/>
    <w:rsid w:val="08F150F9"/>
    <w:rsid w:val="0AB424FF"/>
    <w:rsid w:val="137FC6B3"/>
    <w:rsid w:val="13B23C67"/>
    <w:rsid w:val="15443A3F"/>
    <w:rsid w:val="188917B1"/>
    <w:rsid w:val="1B768A2F"/>
    <w:rsid w:val="32846C54"/>
    <w:rsid w:val="34701D3E"/>
    <w:rsid w:val="3642188B"/>
    <w:rsid w:val="3BFE13B9"/>
    <w:rsid w:val="3FFF310E"/>
    <w:rsid w:val="45E06316"/>
    <w:rsid w:val="48EF7328"/>
    <w:rsid w:val="4D16450C"/>
    <w:rsid w:val="54037B30"/>
    <w:rsid w:val="54D7298C"/>
    <w:rsid w:val="581542C0"/>
    <w:rsid w:val="5B4F2D46"/>
    <w:rsid w:val="5CD63570"/>
    <w:rsid w:val="5D9B030E"/>
    <w:rsid w:val="63EAD12B"/>
    <w:rsid w:val="63ED7D17"/>
    <w:rsid w:val="6C537AB1"/>
    <w:rsid w:val="71BA6482"/>
    <w:rsid w:val="7350417A"/>
    <w:rsid w:val="76676B6C"/>
    <w:rsid w:val="788C3CF9"/>
    <w:rsid w:val="7A320BBC"/>
    <w:rsid w:val="7AAF4305"/>
    <w:rsid w:val="7B0A1C55"/>
    <w:rsid w:val="7BBD48C6"/>
    <w:rsid w:val="7BF66FAD"/>
    <w:rsid w:val="7CFF91D8"/>
    <w:rsid w:val="7FED94A2"/>
    <w:rsid w:val="ADFF0C53"/>
    <w:rsid w:val="B9F68C8F"/>
    <w:rsid w:val="CFFDC537"/>
    <w:rsid w:val="E369B137"/>
    <w:rsid w:val="FB7517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nhideWhenUsed/>
    <w:qFormat/>
    <w:uiPriority w:val="99"/>
    <w:pPr>
      <w:ind w:left="100" w:leftChars="2500"/>
    </w:pPr>
  </w:style>
  <w:style w:type="paragraph" w:styleId="3">
    <w:name w:val="Balloon Text"/>
    <w:basedOn w:val="1"/>
    <w:link w:val="11"/>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22"/>
    <w:rPr>
      <w:b/>
      <w:bCs/>
    </w:rPr>
  </w:style>
  <w:style w:type="character" w:styleId="9">
    <w:name w:val="page number"/>
    <w:qFormat/>
    <w:uiPriority w:val="0"/>
  </w:style>
  <w:style w:type="character" w:customStyle="1" w:styleId="10">
    <w:name w:val="日期 Char"/>
    <w:basedOn w:val="7"/>
    <w:link w:val="2"/>
    <w:semiHidden/>
    <w:qFormat/>
    <w:uiPriority w:val="99"/>
    <w:rPr>
      <w:rFonts w:ascii="Times New Roman" w:hAnsi="Times New Roman" w:eastAsia="宋体" w:cs="Times New Roman"/>
      <w:szCs w:val="24"/>
    </w:rPr>
  </w:style>
  <w:style w:type="character" w:customStyle="1" w:styleId="11">
    <w:name w:val="批注框文本 Char"/>
    <w:basedOn w:val="7"/>
    <w:link w:val="3"/>
    <w:semiHidden/>
    <w:qFormat/>
    <w:uiPriority w:val="99"/>
    <w:rPr>
      <w:rFonts w:ascii="Times New Roman" w:hAnsi="Times New Roman" w:eastAsia="宋体" w:cs="Times New Roman"/>
      <w:sz w:val="18"/>
      <w:szCs w:val="18"/>
    </w:rPr>
  </w:style>
  <w:style w:type="character" w:customStyle="1" w:styleId="12">
    <w:name w:val="页眉 Char"/>
    <w:basedOn w:val="7"/>
    <w:link w:val="5"/>
    <w:qFormat/>
    <w:uiPriority w:val="99"/>
    <w:rPr>
      <w:rFonts w:ascii="Times New Roman" w:hAnsi="Times New Roman" w:eastAsia="宋体" w:cs="Times New Roman"/>
      <w:sz w:val="18"/>
      <w:szCs w:val="18"/>
    </w:rPr>
  </w:style>
  <w:style w:type="character" w:customStyle="1" w:styleId="13">
    <w:name w:val="页脚 Char"/>
    <w:basedOn w:val="7"/>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1329</Words>
  <Characters>1346</Characters>
  <Lines>14</Lines>
  <Paragraphs>4</Paragraphs>
  <TotalTime>1</TotalTime>
  <ScaleCrop>false</ScaleCrop>
  <LinksUpToDate>false</LinksUpToDate>
  <CharactersWithSpaces>1353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2021-04-04T22:33:00Z</dcterms:created>
  <dc:creator>宋 国彪</dc:creator>
  <cp:lastModifiedBy>叶子</cp:lastModifiedBy>
  <cp:lastPrinted>2025-05-26T07:25:00Z</cp:lastPrinted>
  <dcterms:modified xsi:type="dcterms:W3CDTF">2025-10-27T07:15:01Z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354856F7E7E94E3DBF1DA694AC6C28B3</vt:lpwstr>
  </property>
  <property fmtid="{D5CDD505-2E9C-101B-9397-08002B2CF9AE}" pid="4" name="KSOTemplateDocerSaveRecord">
    <vt:lpwstr>eyJoZGlkIjoiMzFiMGUzNGM3NTk4ZGI1ZTY0OTliMWE2NTE1MjI5NzEiLCJ1c2VySWQiOiI0NDUwOTgyOTEifQ==</vt:lpwstr>
  </property>
</Properties>
</file>