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410280">
      <w:pPr>
        <w:keepNext w:val="0"/>
        <w:keepLines w:val="0"/>
        <w:pageBreakBefore w:val="0"/>
        <w:widowControl w:val="0"/>
        <w:tabs>
          <w:tab w:val="left" w:pos="567"/>
        </w:tabs>
        <w:kinsoku/>
        <w:wordWrap/>
        <w:overflowPunct/>
        <w:topLinePunct w:val="0"/>
        <w:autoSpaceDE/>
        <w:autoSpaceDN/>
        <w:bidi w:val="0"/>
        <w:spacing w:line="460" w:lineRule="exact"/>
        <w:jc w:val="center"/>
        <w:textAlignment w:val="auto"/>
        <w:rPr>
          <w:rFonts w:hint="eastAsia" w:ascii="宋体" w:hAnsi="宋体"/>
          <w:b/>
          <w:sz w:val="32"/>
          <w:szCs w:val="32"/>
        </w:rPr>
      </w:pPr>
      <w:r>
        <w:rPr>
          <w:rFonts w:hint="eastAsia" w:ascii="宋体" w:hAnsi="宋体"/>
          <w:b/>
          <w:sz w:val="32"/>
          <w:szCs w:val="32"/>
        </w:rPr>
        <w:t>浙江</w:t>
      </w:r>
      <w:r>
        <w:rPr>
          <w:rFonts w:hint="eastAsia" w:ascii="宋体" w:hAnsi="宋体"/>
          <w:b/>
          <w:sz w:val="32"/>
          <w:szCs w:val="32"/>
          <w:lang w:val="en-US" w:eastAsia="zh-CN"/>
        </w:rPr>
        <w:t>诸暨</w:t>
      </w:r>
      <w:r>
        <w:rPr>
          <w:rFonts w:hint="eastAsia" w:ascii="宋体" w:hAnsi="宋体"/>
          <w:b/>
          <w:bCs/>
          <w:snapToGrid w:val="0"/>
          <w:kern w:val="0"/>
          <w:sz w:val="32"/>
          <w:szCs w:val="32"/>
        </w:rPr>
        <w:t>储备</w:t>
      </w:r>
      <w:r>
        <w:rPr>
          <w:rFonts w:hint="eastAsia" w:ascii="宋体" w:hAnsi="宋体"/>
          <w:b/>
          <w:bCs/>
          <w:snapToGrid w:val="0"/>
          <w:kern w:val="0"/>
          <w:sz w:val="32"/>
          <w:szCs w:val="32"/>
          <w:lang w:val="en-US" w:eastAsia="zh-CN"/>
        </w:rPr>
        <w:t>油</w:t>
      </w:r>
      <w:r>
        <w:rPr>
          <w:rFonts w:hint="eastAsia" w:ascii="宋体" w:hAnsi="宋体"/>
          <w:b/>
          <w:snapToGrid w:val="0"/>
          <w:kern w:val="0"/>
          <w:sz w:val="32"/>
          <w:szCs w:val="32"/>
        </w:rPr>
        <w:t>公开竞价</w:t>
      </w:r>
      <w:r>
        <w:rPr>
          <w:rFonts w:hint="eastAsia" w:ascii="宋体" w:hAnsi="宋体"/>
          <w:b/>
          <w:snapToGrid w:val="0"/>
          <w:kern w:val="0"/>
          <w:sz w:val="32"/>
          <w:szCs w:val="32"/>
          <w:lang w:val="en-US" w:eastAsia="zh-CN"/>
        </w:rPr>
        <w:t>包干</w:t>
      </w:r>
      <w:r>
        <w:rPr>
          <w:rFonts w:hint="eastAsia" w:ascii="宋体" w:hAnsi="宋体"/>
          <w:b/>
          <w:snapToGrid w:val="0"/>
          <w:kern w:val="0"/>
          <w:sz w:val="32"/>
          <w:szCs w:val="32"/>
        </w:rPr>
        <w:t>轮换</w:t>
      </w:r>
      <w:r>
        <w:rPr>
          <w:rFonts w:hint="eastAsia" w:ascii="宋体" w:hAnsi="宋体"/>
          <w:b/>
          <w:sz w:val="32"/>
          <w:szCs w:val="32"/>
        </w:rPr>
        <w:t>粮油交割细则</w:t>
      </w:r>
    </w:p>
    <w:p w14:paraId="4CF5CB39">
      <w:pPr>
        <w:keepNext w:val="0"/>
        <w:keepLines w:val="0"/>
        <w:pageBreakBefore w:val="0"/>
        <w:widowControl w:val="0"/>
        <w:kinsoku/>
        <w:wordWrap/>
        <w:overflowPunct/>
        <w:topLinePunct w:val="0"/>
        <w:autoSpaceDE/>
        <w:autoSpaceDN/>
        <w:bidi w:val="0"/>
        <w:spacing w:line="460" w:lineRule="exact"/>
        <w:jc w:val="center"/>
        <w:textAlignment w:val="auto"/>
        <w:rPr>
          <w:rFonts w:hint="eastAsia" w:ascii="宋体" w:hAnsi="宋体"/>
          <w:b/>
          <w:sz w:val="32"/>
          <w:szCs w:val="32"/>
        </w:rPr>
      </w:pPr>
      <w:r>
        <w:rPr>
          <w:rFonts w:hint="eastAsia" w:ascii="宋体" w:hAnsi="宋体"/>
          <w:b/>
          <w:sz w:val="32"/>
          <w:szCs w:val="32"/>
        </w:rPr>
        <w:t>（国粮浙交</w:t>
      </w:r>
      <w:r>
        <w:rPr>
          <w:rFonts w:ascii="宋体" w:hAnsi="宋体"/>
          <w:b/>
          <w:sz w:val="32"/>
          <w:szCs w:val="32"/>
        </w:rPr>
        <w:t>20</w:t>
      </w:r>
      <w:r>
        <w:rPr>
          <w:rFonts w:hint="eastAsia" w:ascii="宋体" w:hAnsi="宋体"/>
          <w:b/>
          <w:sz w:val="32"/>
          <w:szCs w:val="32"/>
        </w:rPr>
        <w:t>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867</w:t>
      </w:r>
      <w:r>
        <w:rPr>
          <w:rFonts w:hint="eastAsia" w:ascii="宋体" w:hAnsi="宋体"/>
          <w:b/>
          <w:sz w:val="32"/>
          <w:szCs w:val="32"/>
        </w:rPr>
        <w:t>号）</w:t>
      </w:r>
    </w:p>
    <w:p w14:paraId="21E69660">
      <w:pPr>
        <w:keepNext w:val="0"/>
        <w:keepLines w:val="0"/>
        <w:pageBreakBefore w:val="0"/>
        <w:kinsoku/>
        <w:wordWrap/>
        <w:overflowPunct/>
        <w:topLinePunct w:val="0"/>
        <w:autoSpaceDE/>
        <w:autoSpaceDN/>
        <w:bidi w:val="0"/>
        <w:spacing w:line="340" w:lineRule="exact"/>
        <w:textAlignment w:val="auto"/>
        <w:rPr>
          <w:rFonts w:hint="eastAsia" w:asciiTheme="minorEastAsia" w:hAnsiTheme="minorEastAsia"/>
          <w:b/>
          <w:sz w:val="24"/>
          <w:szCs w:val="24"/>
        </w:rPr>
      </w:pPr>
      <w:r>
        <w:rPr>
          <w:rFonts w:hint="eastAsia" w:asciiTheme="minorEastAsia" w:hAnsiTheme="minorEastAsia"/>
          <w:b/>
          <w:sz w:val="24"/>
          <w:szCs w:val="24"/>
        </w:rPr>
        <w:t>一、报名条件：</w:t>
      </w:r>
      <w:r>
        <w:rPr>
          <w:rFonts w:hint="eastAsia" w:ascii="宋体" w:hAnsi="宋体" w:eastAsia="宋体" w:cs="宋体"/>
          <w:color w:val="000000"/>
          <w:kern w:val="0"/>
          <w:sz w:val="24"/>
          <w:szCs w:val="24"/>
        </w:rPr>
        <w:t>具有粮油经营范围的有效营业执照，并有较强的社会责任意识的国内粮油经营、生产企业。</w:t>
      </w:r>
    </w:p>
    <w:p w14:paraId="41352D61">
      <w:pPr>
        <w:keepNext w:val="0"/>
        <w:keepLines w:val="0"/>
        <w:pageBreakBefore w:val="0"/>
        <w:kinsoku/>
        <w:wordWrap/>
        <w:overflowPunct/>
        <w:topLinePunct w:val="0"/>
        <w:autoSpaceDE/>
        <w:autoSpaceDN/>
        <w:bidi w:val="0"/>
        <w:spacing w:line="340" w:lineRule="exact"/>
        <w:textAlignment w:val="auto"/>
        <w:rPr>
          <w:rFonts w:hint="eastAsia" w:ascii="宋体" w:hAnsi="宋体" w:eastAsia="宋体" w:cs="宋体"/>
          <w:b/>
          <w:bCs/>
          <w:color w:val="000000"/>
          <w:kern w:val="0"/>
          <w:sz w:val="24"/>
          <w:szCs w:val="24"/>
        </w:rPr>
      </w:pPr>
      <w:r>
        <w:rPr>
          <w:rFonts w:hint="eastAsia" w:ascii="宋体" w:hAnsi="宋体" w:eastAsia="宋体" w:cs="宋体"/>
          <w:color w:val="000000"/>
          <w:kern w:val="0"/>
          <w:sz w:val="24"/>
          <w:szCs w:val="24"/>
        </w:rPr>
        <w:t>二、</w:t>
      </w:r>
      <w:r>
        <w:rPr>
          <w:rFonts w:hint="eastAsia" w:ascii="宋体" w:hAnsi="宋体" w:eastAsia="宋体" w:cs="宋体"/>
          <w:b/>
          <w:bCs/>
          <w:color w:val="000000"/>
          <w:kern w:val="0"/>
          <w:sz w:val="24"/>
          <w:szCs w:val="24"/>
        </w:rPr>
        <w:t>大豆油轮换：</w:t>
      </w:r>
    </w:p>
    <w:p w14:paraId="4C79A624">
      <w:pPr>
        <w:keepNext w:val="0"/>
        <w:keepLines w:val="0"/>
        <w:pageBreakBefore w:val="0"/>
        <w:widowControl w:val="0"/>
        <w:kinsoku/>
        <w:wordWrap/>
        <w:overflowPunct/>
        <w:topLinePunct w:val="0"/>
        <w:autoSpaceDE/>
        <w:autoSpaceDN/>
        <w:bidi w:val="0"/>
        <w:adjustRightInd w:val="0"/>
        <w:snapToGrid w:val="0"/>
        <w:spacing w:line="340" w:lineRule="exact"/>
        <w:textAlignment w:val="auto"/>
        <w:rPr>
          <w:rFonts w:hint="eastAsia" w:ascii="宋体" w:hAnsi="宋体" w:eastAsia="宋体" w:cs="Times New Roman"/>
          <w:sz w:val="24"/>
          <w:szCs w:val="22"/>
        </w:rPr>
      </w:pPr>
      <w:r>
        <w:rPr>
          <w:rFonts w:hint="eastAsia" w:ascii="宋体" w:hAnsi="宋体" w:eastAsia="宋体" w:cs="Times New Roman"/>
          <w:sz w:val="24"/>
          <w:szCs w:val="22"/>
        </w:rPr>
        <w:t>轮换大豆油475吨，轮入（采购）、轮出（销售）合为一个标段</w:t>
      </w:r>
      <w:r>
        <w:rPr>
          <w:rFonts w:hint="eastAsia" w:ascii="宋体" w:hAnsi="宋体" w:eastAsia="宋体" w:cs="Times New Roman"/>
          <w:sz w:val="24"/>
          <w:szCs w:val="22"/>
          <w:lang w:eastAsia="zh-CN"/>
        </w:rPr>
        <w:t>，</w:t>
      </w:r>
      <w:r>
        <w:rPr>
          <w:rFonts w:hint="eastAsia" w:ascii="宋体" w:hAnsi="宋体" w:eastAsia="宋体" w:cs="Times New Roman"/>
          <w:sz w:val="24"/>
          <w:szCs w:val="22"/>
          <w:lang w:val="en-US" w:eastAsia="zh-CN"/>
        </w:rPr>
        <w:t>详见交易清单</w:t>
      </w:r>
      <w:r>
        <w:rPr>
          <w:rFonts w:hint="eastAsia" w:ascii="宋体" w:hAnsi="宋体" w:eastAsia="宋体" w:cs="Times New Roman"/>
          <w:sz w:val="24"/>
          <w:szCs w:val="22"/>
        </w:rPr>
        <w:t>。</w:t>
      </w:r>
    </w:p>
    <w:p w14:paraId="26BC3712">
      <w:pPr>
        <w:keepNext w:val="0"/>
        <w:keepLines w:val="0"/>
        <w:pageBreakBefore w:val="0"/>
        <w:kinsoku/>
        <w:wordWrap/>
        <w:overflowPunct/>
        <w:topLinePunct w:val="0"/>
        <w:autoSpaceDE/>
        <w:autoSpaceDN/>
        <w:bidi w:val="0"/>
        <w:spacing w:line="340" w:lineRule="exact"/>
        <w:ind w:left="480" w:hanging="480" w:hangingChars="200"/>
        <w:textAlignment w:val="auto"/>
        <w:rPr>
          <w:color w:val="000000"/>
          <w:sz w:val="24"/>
          <w:szCs w:val="24"/>
        </w:rPr>
      </w:pPr>
      <w:r>
        <w:rPr>
          <w:rFonts w:hint="eastAsia"/>
          <w:color w:val="000000"/>
          <w:sz w:val="24"/>
          <w:szCs w:val="24"/>
        </w:rPr>
        <w:t>注：1、</w:t>
      </w:r>
      <w:r>
        <w:rPr>
          <w:rFonts w:hint="eastAsia"/>
          <w:color w:val="000000"/>
          <w:sz w:val="21"/>
          <w:szCs w:val="22"/>
        </w:rPr>
        <w:t>轮换大豆油需要边进边出、先进后出，</w:t>
      </w:r>
      <w:r>
        <w:rPr>
          <w:rFonts w:hint="eastAsia"/>
          <w:color w:val="FF0000"/>
          <w:sz w:val="21"/>
          <w:szCs w:val="22"/>
        </w:rPr>
        <w:t>提货数量不能大于送货数量</w:t>
      </w:r>
      <w:r>
        <w:rPr>
          <w:rFonts w:hint="eastAsia"/>
          <w:color w:val="000000"/>
          <w:sz w:val="24"/>
          <w:szCs w:val="24"/>
        </w:rPr>
        <w:t>。</w:t>
      </w:r>
    </w:p>
    <w:p w14:paraId="26105E0A">
      <w:pPr>
        <w:keepNext w:val="0"/>
        <w:keepLines w:val="0"/>
        <w:pageBreakBefore w:val="0"/>
        <w:kinsoku/>
        <w:wordWrap/>
        <w:overflowPunct/>
        <w:topLinePunct w:val="0"/>
        <w:autoSpaceDE/>
        <w:autoSpaceDN/>
        <w:bidi w:val="0"/>
        <w:spacing w:line="340" w:lineRule="exact"/>
        <w:ind w:firstLine="480" w:firstLineChars="200"/>
        <w:textAlignment w:val="auto"/>
        <w:rPr>
          <w:color w:val="000000"/>
          <w:sz w:val="24"/>
          <w:szCs w:val="24"/>
        </w:rPr>
      </w:pPr>
      <w:r>
        <w:rPr>
          <w:rFonts w:hint="eastAsia"/>
          <w:color w:val="000000"/>
          <w:sz w:val="24"/>
          <w:szCs w:val="24"/>
        </w:rPr>
        <w:t>2、大豆油销售（轮出）、采购（轮入）需为同一单位</w:t>
      </w:r>
    </w:p>
    <w:p w14:paraId="1D996477">
      <w:pPr>
        <w:keepNext w:val="0"/>
        <w:keepLines w:val="0"/>
        <w:pageBreakBefore w:val="0"/>
        <w:kinsoku/>
        <w:wordWrap/>
        <w:overflowPunct/>
        <w:topLinePunct w:val="0"/>
        <w:autoSpaceDE/>
        <w:autoSpaceDN/>
        <w:bidi w:val="0"/>
        <w:spacing w:line="340" w:lineRule="exact"/>
        <w:ind w:firstLine="480" w:firstLineChars="200"/>
        <w:textAlignment w:val="auto"/>
        <w:rPr>
          <w:color w:val="000000"/>
          <w:sz w:val="24"/>
          <w:szCs w:val="24"/>
        </w:rPr>
      </w:pPr>
      <w:r>
        <w:rPr>
          <w:rFonts w:hint="eastAsia"/>
          <w:color w:val="000000"/>
          <w:sz w:val="24"/>
          <w:szCs w:val="24"/>
        </w:rPr>
        <w:t>3、</w:t>
      </w:r>
      <w:r>
        <w:rPr>
          <w:rFonts w:hint="eastAsia"/>
          <w:color w:val="000000"/>
          <w:sz w:val="24"/>
          <w:szCs w:val="24"/>
          <w:lang w:eastAsia="zh-CN"/>
        </w:rPr>
        <w:t>竞得</w:t>
      </w:r>
      <w:r>
        <w:rPr>
          <w:rFonts w:hint="eastAsia"/>
          <w:color w:val="000000"/>
          <w:sz w:val="24"/>
          <w:szCs w:val="24"/>
        </w:rPr>
        <w:t>方需另增加4箱供检测，不计价。</w:t>
      </w:r>
    </w:p>
    <w:p w14:paraId="20AFE22E">
      <w:pPr>
        <w:pStyle w:val="5"/>
        <w:keepNext w:val="0"/>
        <w:keepLines w:val="0"/>
        <w:pageBreakBefore w:val="0"/>
        <w:kinsoku/>
        <w:wordWrap/>
        <w:overflowPunct/>
        <w:topLinePunct w:val="0"/>
        <w:autoSpaceDE/>
        <w:autoSpaceDN/>
        <w:bidi w:val="0"/>
        <w:spacing w:before="0" w:beforeAutospacing="0" w:after="0" w:afterAutospacing="0" w:line="340" w:lineRule="exact"/>
        <w:textAlignment w:val="auto"/>
        <w:rPr>
          <w:rFonts w:hint="eastAsia"/>
          <w:color w:val="000000"/>
          <w:sz w:val="27"/>
          <w:szCs w:val="27"/>
        </w:rPr>
      </w:pPr>
      <w:r>
        <w:rPr>
          <w:rStyle w:val="8"/>
          <w:rFonts w:hint="eastAsia"/>
          <w:color w:val="000000"/>
        </w:rPr>
        <w:t>三、轮换要求：</w:t>
      </w:r>
    </w:p>
    <w:p w14:paraId="1684B3FD">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Style w:val="8"/>
          <w:rFonts w:hint="eastAsia"/>
          <w:color w:val="000000"/>
        </w:rPr>
        <w:t>（一）轮出</w:t>
      </w:r>
    </w:p>
    <w:p w14:paraId="7BF9AA01">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1、202</w:t>
      </w:r>
      <w:r>
        <w:rPr>
          <w:rFonts w:hint="eastAsia"/>
          <w:color w:val="000000"/>
          <w:lang w:val="en-US" w:eastAsia="zh-CN"/>
        </w:rPr>
        <w:t>4</w:t>
      </w:r>
      <w:r>
        <w:rPr>
          <w:rFonts w:hint="eastAsia"/>
          <w:color w:val="000000"/>
        </w:rPr>
        <w:t>年11月生产大豆油475吨（钱江绿农）。</w:t>
      </w:r>
    </w:p>
    <w:p w14:paraId="33FBD1F0">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2、</w:t>
      </w:r>
      <w:r>
        <w:rPr>
          <w:rFonts w:hint="eastAsia"/>
          <w:color w:val="FF0000"/>
          <w:lang w:eastAsia="zh-CN"/>
        </w:rPr>
        <w:t>竞价</w:t>
      </w:r>
      <w:r>
        <w:rPr>
          <w:rFonts w:hint="eastAsia"/>
          <w:color w:val="FF0000"/>
        </w:rPr>
        <w:t>标的物质量：交易清单各项质量指标由委托单位提供，仅供参考，不构成对</w:t>
      </w:r>
      <w:bookmarkStart w:id="0" w:name="_GoBack"/>
      <w:bookmarkEnd w:id="0"/>
      <w:r>
        <w:rPr>
          <w:rFonts w:hint="eastAsia"/>
          <w:color w:val="FF0000"/>
        </w:rPr>
        <w:t>标的的任何担保。质量以委托方公告中库点实际的仓库大样为准。竞买方应慎重决定竞买行为，先到库点实地看样，如不看样视同认可公告公布的</w:t>
      </w:r>
      <w:r>
        <w:rPr>
          <w:rFonts w:hint="eastAsia"/>
          <w:color w:val="FF0000"/>
          <w:lang w:eastAsia="zh-CN"/>
        </w:rPr>
        <w:t>竞价</w:t>
      </w:r>
      <w:r>
        <w:rPr>
          <w:rFonts w:hint="eastAsia"/>
          <w:color w:val="FF0000"/>
        </w:rPr>
        <w:t>标的现状（包括且不限于质量）。一旦作出竞买决定，即表明已完全了解，并接受</w:t>
      </w:r>
      <w:r>
        <w:rPr>
          <w:rFonts w:hint="eastAsia"/>
          <w:color w:val="FF0000"/>
          <w:lang w:eastAsia="zh-CN"/>
        </w:rPr>
        <w:t>竞价</w:t>
      </w:r>
      <w:r>
        <w:rPr>
          <w:rFonts w:hint="eastAsia"/>
          <w:color w:val="FF0000"/>
        </w:rPr>
        <w:t>标的的现状和一切已知及未知的瑕疵，并对标的的质量的予以认可。成交后自觉履行各项义务，不得对质量提出异议。</w:t>
      </w:r>
      <w:r>
        <w:rPr>
          <w:rFonts w:hint="eastAsia"/>
          <w:color w:val="FF0000"/>
          <w:lang w:eastAsia="zh-CN"/>
        </w:rPr>
        <w:t>竞得</w:t>
      </w:r>
      <w:r>
        <w:rPr>
          <w:rFonts w:hint="eastAsia"/>
          <w:color w:val="FF0000"/>
        </w:rPr>
        <w:t>方提货需提前与库点沟通，服从库点安排，不得影响库点正常生产工作。</w:t>
      </w:r>
    </w:p>
    <w:p w14:paraId="5EB1BB7A">
      <w:pPr>
        <w:pStyle w:val="5"/>
        <w:keepNext w:val="0"/>
        <w:keepLines w:val="0"/>
        <w:pageBreakBefore w:val="0"/>
        <w:kinsoku/>
        <w:wordWrap/>
        <w:overflowPunct/>
        <w:topLinePunct w:val="0"/>
        <w:autoSpaceDE/>
        <w:autoSpaceDN/>
        <w:bidi w:val="0"/>
        <w:spacing w:before="0" w:beforeAutospacing="0" w:after="0" w:afterAutospacing="0" w:line="340" w:lineRule="exact"/>
        <w:ind w:firstLine="482"/>
        <w:textAlignment w:val="auto"/>
        <w:rPr>
          <w:rFonts w:hint="eastAsia"/>
          <w:color w:val="000000"/>
          <w:sz w:val="27"/>
          <w:szCs w:val="27"/>
        </w:rPr>
      </w:pPr>
      <w:r>
        <w:rPr>
          <w:rStyle w:val="8"/>
          <w:rFonts w:hint="eastAsia"/>
          <w:color w:val="000000"/>
        </w:rPr>
        <w:t>（二）轮入</w:t>
      </w:r>
    </w:p>
    <w:p w14:paraId="6372289C">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1、生产时间：202</w:t>
      </w:r>
      <w:r>
        <w:rPr>
          <w:rFonts w:hint="eastAsia"/>
          <w:color w:val="000000"/>
          <w:lang w:val="en-US" w:eastAsia="zh-CN"/>
        </w:rPr>
        <w:t>5</w:t>
      </w:r>
      <w:r>
        <w:rPr>
          <w:rFonts w:hint="eastAsia"/>
          <w:color w:val="000000"/>
        </w:rPr>
        <w:t>年11月1日以后生产，且生产间隔日期不得超过30天，（保质期不少于18个月）。</w:t>
      </w:r>
    </w:p>
    <w:p w14:paraId="2D8CDB17">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2、质量要求：质量要求：符合《大豆油》（GB/T 1535-2017）成品大豆油国标一级质量指标要求（全项目）；食品安全指标符合《食品安全国家标准植物油GB 2716-2018》（黄曲霉毒素B1、苯并(a)芘、铅(Pb)、总砷(As)）等国家有关标准要求。</w:t>
      </w:r>
    </w:p>
    <w:p w14:paraId="7DE8A8DD">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FF0000"/>
          <w:sz w:val="27"/>
          <w:szCs w:val="27"/>
        </w:rPr>
      </w:pPr>
      <w:r>
        <w:rPr>
          <w:rFonts w:hint="eastAsia"/>
          <w:color w:val="000000"/>
        </w:rPr>
        <w:t>3、包装物要求：包装物及标签符合国家标准及有关规定，包装物不计价。</w:t>
      </w:r>
      <w:r>
        <w:rPr>
          <w:rFonts w:hint="eastAsia"/>
          <w:color w:val="FF0000"/>
        </w:rPr>
        <w:t>大豆油预计储存时间为一年，大豆油包装物的承载能力和平整度须满足包装物上规定的最大堆码数量，若因承载能力或平整度不足发生倒桩等储存安全事故，一切责任由</w:t>
      </w:r>
      <w:r>
        <w:rPr>
          <w:rFonts w:hint="eastAsia"/>
          <w:color w:val="FF0000"/>
          <w:lang w:eastAsia="zh-CN"/>
        </w:rPr>
        <w:t>竞得</w:t>
      </w:r>
      <w:r>
        <w:rPr>
          <w:rFonts w:hint="eastAsia"/>
          <w:color w:val="FF0000"/>
        </w:rPr>
        <w:t>方承担。</w:t>
      </w:r>
    </w:p>
    <w:p w14:paraId="61A322AA">
      <w:pPr>
        <w:keepNext w:val="0"/>
        <w:keepLines w:val="0"/>
        <w:pageBreakBefore w:val="0"/>
        <w:kinsoku/>
        <w:wordWrap/>
        <w:overflowPunct/>
        <w:topLinePunct w:val="0"/>
        <w:autoSpaceDE/>
        <w:autoSpaceDN/>
        <w:bidi w:val="0"/>
        <w:spacing w:line="340" w:lineRule="exact"/>
        <w:textAlignment w:val="auto"/>
        <w:rPr>
          <w:rFonts w:hint="eastAsia" w:asciiTheme="minorEastAsia" w:hAnsiTheme="minorEastAsia"/>
          <w:b/>
          <w:color w:val="000000"/>
          <w:sz w:val="24"/>
          <w:szCs w:val="24"/>
        </w:rPr>
      </w:pPr>
      <w:r>
        <w:rPr>
          <w:rFonts w:hint="eastAsia" w:asciiTheme="minorEastAsia" w:hAnsiTheme="minorEastAsia"/>
          <w:b/>
          <w:color w:val="000000"/>
          <w:sz w:val="24"/>
          <w:szCs w:val="24"/>
        </w:rPr>
        <w:t>四、交货办法</w:t>
      </w:r>
    </w:p>
    <w:p w14:paraId="4A75C1AD">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1、供货时间：202</w:t>
      </w:r>
      <w:r>
        <w:rPr>
          <w:rFonts w:hint="eastAsia" w:asciiTheme="minorEastAsia" w:hAnsiTheme="minorEastAsia"/>
          <w:color w:val="000000"/>
          <w:sz w:val="24"/>
          <w:szCs w:val="24"/>
          <w:lang w:val="en-US" w:eastAsia="zh-CN"/>
        </w:rPr>
        <w:t>5</w:t>
      </w:r>
      <w:r>
        <w:rPr>
          <w:rFonts w:hint="eastAsia" w:asciiTheme="minorEastAsia" w:hAnsiTheme="minorEastAsia"/>
          <w:color w:val="000000"/>
          <w:sz w:val="24"/>
          <w:szCs w:val="24"/>
        </w:rPr>
        <w:t>年11月</w:t>
      </w:r>
      <w:r>
        <w:rPr>
          <w:rFonts w:hint="eastAsia" w:asciiTheme="minorEastAsia" w:hAnsiTheme="minorEastAsia"/>
          <w:color w:val="000000"/>
          <w:sz w:val="24"/>
          <w:szCs w:val="24"/>
          <w:lang w:val="en-US" w:eastAsia="zh-CN"/>
        </w:rPr>
        <w:t>3</w:t>
      </w:r>
      <w:r>
        <w:rPr>
          <w:rFonts w:hint="eastAsia" w:asciiTheme="minorEastAsia" w:hAnsiTheme="minorEastAsia"/>
          <w:color w:val="000000"/>
          <w:sz w:val="24"/>
          <w:szCs w:val="24"/>
        </w:rPr>
        <w:t>日至202</w:t>
      </w:r>
      <w:r>
        <w:rPr>
          <w:rFonts w:hint="eastAsia" w:asciiTheme="minorEastAsia" w:hAnsiTheme="minorEastAsia"/>
          <w:color w:val="000000"/>
          <w:sz w:val="24"/>
          <w:szCs w:val="24"/>
          <w:lang w:val="en-US" w:eastAsia="zh-CN"/>
        </w:rPr>
        <w:t>5</w:t>
      </w:r>
      <w:r>
        <w:rPr>
          <w:rFonts w:hint="eastAsia" w:asciiTheme="minorEastAsia" w:hAnsiTheme="minorEastAsia"/>
          <w:color w:val="000000"/>
          <w:sz w:val="24"/>
          <w:szCs w:val="24"/>
        </w:rPr>
        <w:t>年11月</w:t>
      </w:r>
      <w:r>
        <w:rPr>
          <w:rFonts w:asciiTheme="minorEastAsia" w:hAnsiTheme="minorEastAsia"/>
          <w:color w:val="000000"/>
          <w:sz w:val="24"/>
          <w:szCs w:val="24"/>
        </w:rPr>
        <w:t>25</w:t>
      </w:r>
      <w:r>
        <w:rPr>
          <w:rFonts w:hint="eastAsia" w:asciiTheme="minorEastAsia" w:hAnsiTheme="minorEastAsia"/>
          <w:color w:val="000000"/>
          <w:sz w:val="24"/>
          <w:szCs w:val="24"/>
        </w:rPr>
        <w:t>日止。</w:t>
      </w:r>
      <w:r>
        <w:rPr>
          <w:rFonts w:hint="eastAsia" w:asciiTheme="minorEastAsia" w:hAnsiTheme="minorEastAsia"/>
          <w:color w:val="000000"/>
          <w:sz w:val="24"/>
          <w:szCs w:val="24"/>
          <w:lang w:eastAsia="zh-CN"/>
        </w:rPr>
        <w:t>竞得</w:t>
      </w:r>
      <w:r>
        <w:rPr>
          <w:rFonts w:hint="eastAsia" w:asciiTheme="minorEastAsia" w:hAnsiTheme="minorEastAsia"/>
          <w:color w:val="000000"/>
          <w:sz w:val="24"/>
          <w:szCs w:val="24"/>
        </w:rPr>
        <w:t>后五个工作日内签订购销合同，逾期不签方视作违约。</w:t>
      </w:r>
    </w:p>
    <w:p w14:paraId="2293F599">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2、交货地点：诸暨市粮食收储有限公司八零二粮库。</w:t>
      </w:r>
    </w:p>
    <w:p w14:paraId="2141A9B4">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3、轮换方式：</w:t>
      </w:r>
    </w:p>
    <w:p w14:paraId="6F181DED">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FF0000"/>
          <w:sz w:val="24"/>
          <w:szCs w:val="24"/>
        </w:rPr>
      </w:pPr>
      <w:r>
        <w:rPr>
          <w:rFonts w:hint="eastAsia" w:ascii="宋体" w:hAnsi="宋体" w:eastAsia="宋体" w:cs="宋体"/>
          <w:color w:val="000000"/>
          <w:kern w:val="0"/>
          <w:sz w:val="24"/>
          <w:szCs w:val="24"/>
        </w:rPr>
        <w:t>（1）大豆油本着边进边出的原则轮换。</w:t>
      </w:r>
      <w:r>
        <w:rPr>
          <w:rFonts w:hint="eastAsia" w:ascii="宋体" w:hAnsi="宋体" w:eastAsia="宋体" w:cs="宋体"/>
          <w:color w:val="FF0000"/>
          <w:kern w:val="0"/>
          <w:sz w:val="24"/>
          <w:szCs w:val="24"/>
        </w:rPr>
        <w:t>轮出先货款后提货；轮入先送货后货款。</w:t>
      </w:r>
    </w:p>
    <w:p w14:paraId="0B410E81">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（2）接收库区位于城区，需在交警中队打城区通行证，早晚高峰期禁止驶入。</w:t>
      </w:r>
    </w:p>
    <w:p w14:paraId="04965575">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（3）验收办法：委托方对供方的数量（箱数）及包装物（纸箱）进行清点与验收；质量：交货前</w:t>
      </w:r>
      <w:r>
        <w:rPr>
          <w:rFonts w:hint="eastAsia" w:asciiTheme="minorEastAsia" w:hAnsiTheme="minorEastAsia"/>
          <w:color w:val="000000"/>
          <w:sz w:val="24"/>
          <w:szCs w:val="24"/>
          <w:lang w:eastAsia="zh-CN"/>
        </w:rPr>
        <w:t>竞得</w:t>
      </w:r>
      <w:r>
        <w:rPr>
          <w:rFonts w:hint="eastAsia" w:asciiTheme="minorEastAsia" w:hAnsiTheme="minorEastAsia"/>
          <w:color w:val="000000"/>
          <w:sz w:val="24"/>
          <w:szCs w:val="24"/>
        </w:rPr>
        <w:t>方需提供由CMA认证资质机构检测的一级大豆油质量报告单。</w:t>
      </w:r>
      <w:r>
        <w:rPr>
          <w:rFonts w:hint="eastAsia" w:asciiTheme="minorEastAsia" w:hAnsiTheme="minorEastAsia"/>
          <w:color w:val="000000"/>
          <w:sz w:val="24"/>
          <w:szCs w:val="24"/>
          <w:lang w:eastAsia="zh-CN"/>
        </w:rPr>
        <w:t>竞得</w:t>
      </w:r>
      <w:r>
        <w:rPr>
          <w:rFonts w:hint="eastAsia" w:asciiTheme="minorEastAsia" w:hAnsiTheme="minorEastAsia"/>
          <w:color w:val="000000"/>
          <w:sz w:val="24"/>
          <w:szCs w:val="24"/>
        </w:rPr>
        <w:t>方需额外提供完好纸箱，用于更换在运输装缷等过程中造成的破损纸箱。</w:t>
      </w:r>
    </w:p>
    <w:p w14:paraId="1659133E">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rPr>
        <w:t>（4）、工作时间（包括节假日）：8：30——17：00。</w:t>
      </w:r>
    </w:p>
    <w:p w14:paraId="7243EBAA">
      <w:pPr>
        <w:pStyle w:val="5"/>
        <w:keepNext w:val="0"/>
        <w:keepLines w:val="0"/>
        <w:pageBreakBefore w:val="0"/>
        <w:shd w:val="clear" w:color="auto" w:fill="FFFFFF"/>
        <w:kinsoku/>
        <w:wordWrap/>
        <w:overflowPunct/>
        <w:topLinePunct w:val="0"/>
        <w:autoSpaceDE/>
        <w:autoSpaceDN/>
        <w:bidi w:val="0"/>
        <w:spacing w:before="0" w:beforeAutospacing="0" w:after="0" w:afterAutospacing="0" w:line="340" w:lineRule="exact"/>
        <w:textAlignment w:val="auto"/>
        <w:rPr>
          <w:rFonts w:hint="eastAsia"/>
          <w:color w:val="000000"/>
          <w:sz w:val="27"/>
          <w:szCs w:val="27"/>
        </w:rPr>
      </w:pPr>
      <w:r>
        <w:rPr>
          <w:rStyle w:val="8"/>
          <w:rFonts w:hint="eastAsia"/>
          <w:color w:val="000000"/>
        </w:rPr>
        <w:t>五、结算办法：</w:t>
      </w:r>
    </w:p>
    <w:p w14:paraId="32B4D72A">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Style w:val="8"/>
          <w:rFonts w:hint="eastAsia"/>
          <w:color w:val="000000"/>
        </w:rPr>
        <w:t>（一）轮出结算</w:t>
      </w:r>
    </w:p>
    <w:p w14:paraId="5EAF2A37">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color w:val="000000"/>
        </w:rPr>
        <w:t>1、价格：轮出（销售）价格为轮入（采购）的固定价格（9070元/吨）-轮换差价（标的物成交价）。</w:t>
      </w:r>
    </w:p>
    <w:p w14:paraId="24A21E1F">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2、货款支付截止日期：202</w:t>
      </w:r>
      <w:r>
        <w:rPr>
          <w:rFonts w:hint="eastAsia"/>
          <w:color w:val="000000"/>
          <w:lang w:val="en-US" w:eastAsia="zh-CN"/>
        </w:rPr>
        <w:t>5</w:t>
      </w:r>
      <w:r>
        <w:rPr>
          <w:rFonts w:hint="eastAsia"/>
          <w:color w:val="000000"/>
        </w:rPr>
        <w:t>年11月15日前。</w:t>
      </w:r>
    </w:p>
    <w:p w14:paraId="00F37685">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3、费用：车板前费用由委托方承担。</w:t>
      </w:r>
    </w:p>
    <w:p w14:paraId="4E7CD1A1">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color w:val="000000"/>
        </w:rPr>
        <w:t>4、包装物计量不计价。</w:t>
      </w:r>
    </w:p>
    <w:p w14:paraId="573C88E1">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Style w:val="8"/>
          <w:rFonts w:hint="eastAsia"/>
          <w:color w:val="000000"/>
        </w:rPr>
        <w:t>（二）轮入结算</w:t>
      </w:r>
    </w:p>
    <w:p w14:paraId="485C15DD">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sz w:val="27"/>
          <w:szCs w:val="27"/>
        </w:rPr>
      </w:pPr>
      <w:r>
        <w:rPr>
          <w:rFonts w:hint="eastAsia"/>
          <w:color w:val="000000"/>
        </w:rPr>
        <w:t>1、价格：设定轮入（采购）固定价格为</w:t>
      </w:r>
      <w:r>
        <w:rPr>
          <w:rFonts w:hint="eastAsia"/>
          <w:color w:val="FF0000"/>
        </w:rPr>
        <w:t>9070元/吨</w:t>
      </w:r>
      <w:r>
        <w:rPr>
          <w:rFonts w:hint="eastAsia"/>
          <w:color w:val="000000"/>
        </w:rPr>
        <w:t>。</w:t>
      </w:r>
    </w:p>
    <w:p w14:paraId="4681F6C0">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color w:val="000000"/>
        </w:rPr>
        <w:t>2、费用：大豆油到库前所有费用由</w:t>
      </w:r>
      <w:r>
        <w:rPr>
          <w:rFonts w:hint="eastAsia"/>
          <w:color w:val="000000"/>
          <w:lang w:eastAsia="zh-CN"/>
        </w:rPr>
        <w:t>竞得</w:t>
      </w:r>
      <w:r>
        <w:rPr>
          <w:rFonts w:hint="eastAsia"/>
          <w:color w:val="000000"/>
        </w:rPr>
        <w:t>方承担。</w:t>
      </w:r>
    </w:p>
    <w:p w14:paraId="089D3543">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color w:val="000000"/>
        </w:rPr>
        <w:t>3、货款结算办法：</w:t>
      </w:r>
      <w:r>
        <w:rPr>
          <w:rFonts w:hint="eastAsia"/>
          <w:color w:val="000000"/>
          <w:lang w:eastAsia="zh-CN"/>
        </w:rPr>
        <w:t>竞得</w:t>
      </w:r>
      <w:r>
        <w:rPr>
          <w:rFonts w:hint="eastAsia"/>
          <w:color w:val="000000"/>
        </w:rPr>
        <w:t>方完成供货后，经浙江省内具由CMA认证资质的粮油检测机构检测后质量、品质、食品安全指标符合要求的（检测费由需方承担），</w:t>
      </w:r>
      <w:r>
        <w:rPr>
          <w:rFonts w:hint="eastAsia"/>
          <w:color w:val="000000"/>
          <w:lang w:eastAsia="zh-CN"/>
        </w:rPr>
        <w:t>竞得</w:t>
      </w:r>
      <w:r>
        <w:rPr>
          <w:rFonts w:hint="eastAsia"/>
          <w:color w:val="000000"/>
        </w:rPr>
        <w:t>方凭相关验收凭证和正式销货</w:t>
      </w:r>
      <w:r>
        <w:rPr>
          <w:rFonts w:hint="eastAsia"/>
          <w:color w:val="FF0000"/>
        </w:rPr>
        <w:t>增值税普通发票</w:t>
      </w:r>
      <w:r>
        <w:rPr>
          <w:rFonts w:hint="eastAsia"/>
          <w:color w:val="000000"/>
        </w:rPr>
        <w:t>十个工作日内给予结清；如遇特殊情况可适当延时支付。</w:t>
      </w:r>
    </w:p>
    <w:p w14:paraId="5BABD9C9">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color w:val="000000"/>
        </w:rPr>
        <w:t>4、</w:t>
      </w:r>
      <w:r>
        <w:rPr>
          <w:rFonts w:hint="eastAsia"/>
          <w:color w:val="000000"/>
          <w:lang w:eastAsia="zh-CN"/>
        </w:rPr>
        <w:t>竞得</w:t>
      </w:r>
      <w:r>
        <w:rPr>
          <w:rFonts w:hint="eastAsia"/>
          <w:color w:val="000000"/>
        </w:rPr>
        <w:t>方出具标的物储存期内产品质量承诺书，并保证在储存期间不出现小包装食用大豆油质量问题，如发生一概由</w:t>
      </w:r>
      <w:r>
        <w:rPr>
          <w:rFonts w:hint="eastAsia"/>
          <w:color w:val="000000"/>
          <w:lang w:eastAsia="zh-CN"/>
        </w:rPr>
        <w:t>竞得</w:t>
      </w:r>
      <w:r>
        <w:rPr>
          <w:rFonts w:hint="eastAsia"/>
          <w:color w:val="000000"/>
        </w:rPr>
        <w:t>方负责并承担损失。</w:t>
      </w:r>
    </w:p>
    <w:p w14:paraId="34C72376">
      <w:pPr>
        <w:pStyle w:val="5"/>
        <w:keepNext w:val="0"/>
        <w:keepLines w:val="0"/>
        <w:pageBreakBefore w:val="0"/>
        <w:kinsoku/>
        <w:wordWrap/>
        <w:overflowPunct/>
        <w:topLinePunct w:val="0"/>
        <w:autoSpaceDE/>
        <w:autoSpaceDN/>
        <w:bidi w:val="0"/>
        <w:spacing w:before="0" w:beforeAutospacing="0" w:after="0" w:afterAutospacing="0" w:line="340" w:lineRule="exact"/>
        <w:ind w:firstLine="480"/>
        <w:textAlignment w:val="auto"/>
        <w:rPr>
          <w:rFonts w:hint="eastAsia"/>
          <w:color w:val="000000"/>
        </w:rPr>
      </w:pPr>
      <w:r>
        <w:rPr>
          <w:rFonts w:hint="eastAsia" w:asciiTheme="minorEastAsia" w:hAnsiTheme="minorEastAsia"/>
          <w:b/>
          <w:color w:val="000000"/>
        </w:rPr>
        <w:t>六、其它说明：</w:t>
      </w:r>
    </w:p>
    <w:p w14:paraId="036F2AAE">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eastAsia="zh-CN"/>
        </w:rPr>
        <w:t>竞得</w:t>
      </w:r>
      <w:r>
        <w:rPr>
          <w:rFonts w:hint="eastAsia" w:ascii="宋体" w:hAnsi="宋体" w:eastAsia="宋体" w:cs="宋体"/>
          <w:color w:val="000000"/>
          <w:kern w:val="0"/>
          <w:sz w:val="24"/>
          <w:szCs w:val="24"/>
        </w:rPr>
        <w:t>后五个工作日内签订购销合同，逾期不签一方视作违约。</w:t>
      </w:r>
    </w:p>
    <w:p w14:paraId="5AC4F92D">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2、质量未达要求，需方单方面可采取以下方法处理：（1）10天内由</w:t>
      </w:r>
      <w:r>
        <w:rPr>
          <w:rFonts w:hint="eastAsia" w:ascii="宋体" w:hAnsi="宋体" w:cs="宋体"/>
          <w:color w:val="000000"/>
          <w:kern w:val="0"/>
          <w:sz w:val="24"/>
          <w:szCs w:val="24"/>
          <w:lang w:eastAsia="zh-CN"/>
        </w:rPr>
        <w:t>竞得</w:t>
      </w:r>
      <w:r>
        <w:rPr>
          <w:rFonts w:hint="eastAsia" w:ascii="宋体" w:hAnsi="宋体" w:eastAsia="宋体" w:cs="宋体"/>
          <w:color w:val="000000"/>
          <w:kern w:val="0"/>
          <w:sz w:val="24"/>
          <w:szCs w:val="24"/>
        </w:rPr>
        <w:t>方调换成符合本公告质量要求的大豆油，由此产生的一切损失由供方承担，或（2）需方有权单方面</w:t>
      </w:r>
      <w:r>
        <w:rPr>
          <w:rFonts w:hint="eastAsia" w:ascii="宋体" w:hAnsi="宋体" w:cs="宋体"/>
          <w:color w:val="000000"/>
          <w:kern w:val="0"/>
          <w:sz w:val="24"/>
          <w:szCs w:val="24"/>
          <w:lang w:eastAsia="zh-CN"/>
        </w:rPr>
        <w:t>终止</w:t>
      </w:r>
      <w:r>
        <w:rPr>
          <w:rFonts w:hint="eastAsia" w:ascii="宋体" w:hAnsi="宋体" w:eastAsia="宋体" w:cs="宋体"/>
          <w:color w:val="000000"/>
          <w:kern w:val="0"/>
          <w:sz w:val="24"/>
          <w:szCs w:val="24"/>
        </w:rPr>
        <w:t>合同，同时</w:t>
      </w:r>
      <w:r>
        <w:rPr>
          <w:rFonts w:hint="eastAsia" w:ascii="宋体" w:hAnsi="宋体" w:cs="宋体"/>
          <w:color w:val="000000"/>
          <w:kern w:val="0"/>
          <w:sz w:val="24"/>
          <w:szCs w:val="24"/>
          <w:lang w:eastAsia="zh-CN"/>
        </w:rPr>
        <w:t>竞得</w:t>
      </w:r>
      <w:r>
        <w:rPr>
          <w:rFonts w:hint="eastAsia" w:ascii="宋体" w:hAnsi="宋体" w:eastAsia="宋体" w:cs="宋体"/>
          <w:color w:val="000000"/>
          <w:kern w:val="0"/>
          <w:sz w:val="24"/>
          <w:szCs w:val="24"/>
        </w:rPr>
        <w:t>方交纳的该标的物的履约保证金及20%货款的质量保证金，全额赔付给需方，同时退回货物。</w:t>
      </w:r>
    </w:p>
    <w:p w14:paraId="51981461">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3、超过交（提）货截止日，不超过5天（含）的，按每标的300.00元/天收取逾期费；超过交（提）货截止日5天以上的，按每标的600.00元/天收取逾期费。</w:t>
      </w:r>
    </w:p>
    <w:p w14:paraId="39389279">
      <w:pPr>
        <w:keepNext w:val="0"/>
        <w:keepLines w:val="0"/>
        <w:pageBreakBefore w:val="0"/>
        <w:widowControl/>
        <w:kinsoku/>
        <w:wordWrap/>
        <w:overflowPunct/>
        <w:topLinePunct w:val="0"/>
        <w:autoSpaceDE/>
        <w:autoSpaceDN/>
        <w:bidi w:val="0"/>
        <w:adjustRightInd w:val="0"/>
        <w:snapToGrid w:val="0"/>
        <w:spacing w:line="34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六、其他：</w:t>
      </w:r>
    </w:p>
    <w:p w14:paraId="4DCF2B85">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宋体" w:hAnsi="宋体" w:eastAsia="宋体" w:cs="宋体"/>
          <w:color w:val="000000"/>
          <w:kern w:val="0"/>
          <w:sz w:val="24"/>
          <w:szCs w:val="24"/>
        </w:rPr>
        <w:t>1、</w:t>
      </w:r>
      <w:r>
        <w:rPr>
          <w:rFonts w:hint="eastAsia" w:ascii="宋体" w:hAnsi="宋体" w:eastAsia="宋体" w:cs="宋体"/>
          <w:color w:val="FF0000"/>
          <w:kern w:val="0"/>
          <w:sz w:val="24"/>
          <w:szCs w:val="24"/>
        </w:rPr>
        <w:t>委托方可开具增值税专用发票，</w:t>
      </w:r>
      <w:r>
        <w:rPr>
          <w:rFonts w:hint="eastAsia" w:asciiTheme="minorEastAsia" w:hAnsiTheme="minorEastAsia"/>
          <w:color w:val="000000"/>
          <w:sz w:val="24"/>
          <w:szCs w:val="24"/>
        </w:rPr>
        <w:t>有关印花税等税款按国家有关规定由各自自行缴纳。</w:t>
      </w:r>
    </w:p>
    <w:p w14:paraId="0BF58A40">
      <w:pPr>
        <w:keepNext w:val="0"/>
        <w:keepLines w:val="0"/>
        <w:pageBreakBefore w:val="0"/>
        <w:kinsoku/>
        <w:wordWrap/>
        <w:overflowPunct/>
        <w:topLinePunct w:val="0"/>
        <w:autoSpaceDE/>
        <w:autoSpaceDN/>
        <w:bidi w:val="0"/>
        <w:spacing w:line="340" w:lineRule="exact"/>
        <w:ind w:firstLine="480" w:firstLineChars="200"/>
        <w:textAlignment w:val="auto"/>
        <w:rPr>
          <w:rFonts w:hint="eastAsia" w:asciiTheme="minorEastAsia" w:hAnsiTheme="minorEastAsia"/>
          <w:color w:val="000000"/>
          <w:sz w:val="24"/>
          <w:szCs w:val="24"/>
        </w:rPr>
      </w:pPr>
      <w:r>
        <w:rPr>
          <w:rFonts w:hint="eastAsia" w:asciiTheme="minorEastAsia" w:hAnsiTheme="minorEastAsia"/>
          <w:color w:val="000000"/>
          <w:sz w:val="24"/>
          <w:szCs w:val="24"/>
          <w:lang w:val="en-US" w:eastAsia="zh-CN"/>
        </w:rPr>
        <w:t>2</w:t>
      </w:r>
      <w:r>
        <w:rPr>
          <w:rFonts w:hint="eastAsia" w:asciiTheme="minorEastAsia" w:hAnsiTheme="minorEastAsia"/>
          <w:color w:val="000000"/>
          <w:sz w:val="24"/>
          <w:szCs w:val="24"/>
        </w:rPr>
        <w:t>、</w:t>
      </w:r>
      <w:r>
        <w:rPr>
          <w:rFonts w:hint="eastAsia" w:ascii="宋体" w:hAnsi="宋体" w:eastAsia="宋体" w:cs="宋体"/>
          <w:color w:val="000000"/>
          <w:kern w:val="0"/>
          <w:sz w:val="24"/>
          <w:szCs w:val="24"/>
        </w:rPr>
        <w:t>合同纠纷</w:t>
      </w:r>
      <w:r>
        <w:rPr>
          <w:rFonts w:hint="eastAsia" w:asciiTheme="minorEastAsia" w:hAnsiTheme="minorEastAsia"/>
          <w:color w:val="000000"/>
          <w:sz w:val="24"/>
          <w:szCs w:val="24"/>
        </w:rPr>
        <w:t>：本合同未尽事宜，双方协商解决，协商不成，按法律程序办理。</w:t>
      </w:r>
    </w:p>
    <w:p w14:paraId="65C582AE">
      <w:pPr>
        <w:keepNext w:val="0"/>
        <w:keepLines w:val="0"/>
        <w:pageBreakBefore w:val="0"/>
        <w:widowControl/>
        <w:kinsoku/>
        <w:wordWrap/>
        <w:overflowPunct/>
        <w:topLinePunct w:val="0"/>
        <w:autoSpaceDE/>
        <w:autoSpaceDN/>
        <w:bidi w:val="0"/>
        <w:spacing w:line="280" w:lineRule="exact"/>
        <w:jc w:val="left"/>
        <w:textAlignment w:val="auto"/>
        <w:rPr>
          <w:rFonts w:ascii="Arial" w:hAnsi="Arial" w:cs="Arial"/>
          <w:kern w:val="0"/>
          <w:sz w:val="24"/>
        </w:rPr>
      </w:pPr>
      <w:r>
        <w:rPr>
          <w:rFonts w:hint="eastAsia" w:ascii="Arial" w:hAnsi="Arial" w:cs="Arial"/>
          <w:b/>
          <w:kern w:val="0"/>
          <w:sz w:val="24"/>
        </w:rPr>
        <w:t>六、联系人、联系电话</w:t>
      </w:r>
    </w:p>
    <w:p w14:paraId="65332759">
      <w:pPr>
        <w:keepNext w:val="0"/>
        <w:keepLines w:val="0"/>
        <w:pageBreakBefore w:val="0"/>
        <w:kinsoku/>
        <w:wordWrap/>
        <w:overflowPunct/>
        <w:topLinePunct w:val="0"/>
        <w:autoSpaceDE/>
        <w:autoSpaceDN/>
        <w:bidi w:val="0"/>
        <w:spacing w:line="280" w:lineRule="exact"/>
        <w:ind w:firstLine="480" w:firstLineChars="200"/>
        <w:textAlignment w:val="auto"/>
        <w:rPr>
          <w:rFonts w:hint="eastAsia" w:ascii="宋体" w:hAnsi="宋体"/>
          <w:sz w:val="24"/>
        </w:rPr>
      </w:pPr>
      <w:r>
        <w:rPr>
          <w:rFonts w:hint="eastAsia" w:ascii="宋体" w:hAnsi="宋体"/>
          <w:sz w:val="24"/>
        </w:rPr>
        <w:t>业务科：赵晓洲  0575-89078502、13967568295，传真：0575-89078503</w:t>
      </w:r>
    </w:p>
    <w:p w14:paraId="2B9F76A5">
      <w:pPr>
        <w:keepNext w:val="0"/>
        <w:keepLines w:val="0"/>
        <w:pageBreakBefore w:val="0"/>
        <w:kinsoku/>
        <w:wordWrap/>
        <w:overflowPunct/>
        <w:topLinePunct w:val="0"/>
        <w:autoSpaceDE/>
        <w:autoSpaceDN/>
        <w:bidi w:val="0"/>
        <w:spacing w:line="280" w:lineRule="exact"/>
        <w:ind w:firstLine="480" w:firstLineChars="200"/>
        <w:textAlignment w:val="auto"/>
        <w:rPr>
          <w:rFonts w:hint="eastAsia" w:eastAsia="宋体"/>
          <w:sz w:val="24"/>
          <w:szCs w:val="24"/>
          <w:lang w:val="en-US" w:eastAsia="zh-CN"/>
        </w:rPr>
      </w:pPr>
      <w:r>
        <w:rPr>
          <w:rFonts w:hint="eastAsia" w:ascii="宋体" w:hAnsi="宋体"/>
          <w:sz w:val="24"/>
        </w:rPr>
        <w:t>八零二粮库联系人：傅建生  1</w:t>
      </w:r>
      <w:r>
        <w:rPr>
          <w:rFonts w:ascii="宋体" w:hAnsi="宋体"/>
          <w:sz w:val="24"/>
        </w:rPr>
        <w:t>3858523955</w:t>
      </w:r>
      <w:r>
        <w:rPr>
          <w:rFonts w:hint="eastAsia" w:ascii="宋体" w:hAnsi="宋体"/>
          <w:sz w:val="24"/>
        </w:rPr>
        <w:t>。</w:t>
      </w:r>
    </w:p>
    <w:p w14:paraId="1DAA4BDE">
      <w:pPr>
        <w:keepNext w:val="0"/>
        <w:keepLines w:val="0"/>
        <w:pageBreakBefore w:val="0"/>
        <w:kinsoku/>
        <w:wordWrap/>
        <w:overflowPunct/>
        <w:topLinePunct w:val="0"/>
        <w:autoSpaceDE/>
        <w:autoSpaceDN/>
        <w:bidi w:val="0"/>
        <w:adjustRightInd w:val="0"/>
        <w:snapToGrid w:val="0"/>
        <w:spacing w:line="280" w:lineRule="exact"/>
        <w:ind w:firstLine="480" w:firstLineChars="200"/>
        <w:jc w:val="right"/>
        <w:textAlignment w:val="auto"/>
        <w:rPr>
          <w:rFonts w:hint="eastAsia" w:ascii="宋体" w:hAnsi="宋体" w:cs="宋体"/>
          <w:color w:val="000000"/>
          <w:kern w:val="0"/>
          <w:sz w:val="24"/>
        </w:rPr>
      </w:pPr>
      <w:r>
        <w:rPr>
          <w:rFonts w:hint="eastAsia" w:ascii="宋体" w:hAnsi="宋体" w:cs="宋体"/>
          <w:color w:val="000000"/>
          <w:kern w:val="0"/>
          <w:sz w:val="24"/>
        </w:rPr>
        <w:t>国家粮食浙江交易中心绍兴分中心</w:t>
      </w:r>
    </w:p>
    <w:p w14:paraId="4F377452">
      <w:pPr>
        <w:keepNext w:val="0"/>
        <w:keepLines w:val="0"/>
        <w:pageBreakBefore w:val="0"/>
        <w:kinsoku/>
        <w:wordWrap/>
        <w:overflowPunct/>
        <w:topLinePunct w:val="0"/>
        <w:autoSpaceDE/>
        <w:autoSpaceDN/>
        <w:bidi w:val="0"/>
        <w:adjustRightInd w:val="0"/>
        <w:snapToGrid w:val="0"/>
        <w:spacing w:line="280" w:lineRule="exact"/>
        <w:ind w:firstLine="480" w:firstLineChars="200"/>
        <w:jc w:val="right"/>
        <w:textAlignment w:val="auto"/>
        <w:rPr>
          <w:rFonts w:hint="eastAsia" w:ascii="宋体" w:hAnsi="宋体" w:cs="宋体"/>
          <w:color w:val="000000"/>
          <w:kern w:val="0"/>
          <w:sz w:val="24"/>
        </w:rPr>
      </w:pPr>
      <w:r>
        <w:rPr>
          <w:rFonts w:hint="eastAsia" w:ascii="宋体" w:hAnsi="宋体"/>
          <w:sz w:val="24"/>
        </w:rPr>
        <w:t>国家粮食浙江交易中心</w:t>
      </w:r>
    </w:p>
    <w:p w14:paraId="7B7E9960">
      <w:pPr>
        <w:keepNext w:val="0"/>
        <w:keepLines w:val="0"/>
        <w:pageBreakBefore w:val="0"/>
        <w:widowControl w:val="0"/>
        <w:kinsoku/>
        <w:wordWrap/>
        <w:overflowPunct/>
        <w:topLinePunct w:val="0"/>
        <w:autoSpaceDE/>
        <w:autoSpaceDN/>
        <w:bidi w:val="0"/>
        <w:adjustRightInd w:val="0"/>
        <w:snapToGrid w:val="0"/>
        <w:spacing w:line="280" w:lineRule="exact"/>
        <w:ind w:firstLine="480" w:firstLineChars="200"/>
        <w:jc w:val="right"/>
        <w:textAlignment w:val="auto"/>
        <w:rPr>
          <w:rFonts w:hint="eastAsia" w:ascii="宋体" w:hAnsi="宋体"/>
          <w:sz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二十七</w:t>
      </w:r>
      <w:r>
        <w:rPr>
          <w:rFonts w:hint="eastAsia" w:ascii="宋体" w:hAnsi="宋体"/>
          <w:sz w:val="24"/>
        </w:rPr>
        <w:t>日</w:t>
      </w:r>
    </w:p>
    <w:sectPr>
      <w:headerReference r:id="rId3" w:type="default"/>
      <w:pgSz w:w="11906" w:h="16838"/>
      <w:pgMar w:top="1440" w:right="1797" w:bottom="1758"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F3C86">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jMTYyNWE5YjIzZDVmNTRmMDgxMzFkMTNiMjlkNzgifQ=="/>
  </w:docVars>
  <w:rsids>
    <w:rsidRoot w:val="00E55BFB"/>
    <w:rsid w:val="0000630B"/>
    <w:rsid w:val="00013271"/>
    <w:rsid w:val="0001352A"/>
    <w:rsid w:val="0001655F"/>
    <w:rsid w:val="000271CD"/>
    <w:rsid w:val="00027273"/>
    <w:rsid w:val="0005301E"/>
    <w:rsid w:val="00063F0F"/>
    <w:rsid w:val="000662A5"/>
    <w:rsid w:val="00073833"/>
    <w:rsid w:val="00073898"/>
    <w:rsid w:val="00081D22"/>
    <w:rsid w:val="00084A1A"/>
    <w:rsid w:val="00085D6F"/>
    <w:rsid w:val="00096801"/>
    <w:rsid w:val="00097738"/>
    <w:rsid w:val="000A14E5"/>
    <w:rsid w:val="000B6461"/>
    <w:rsid w:val="000C21CC"/>
    <w:rsid w:val="000C6D85"/>
    <w:rsid w:val="000F1A63"/>
    <w:rsid w:val="000F6B0F"/>
    <w:rsid w:val="001239A5"/>
    <w:rsid w:val="0013318C"/>
    <w:rsid w:val="001439E2"/>
    <w:rsid w:val="00152F73"/>
    <w:rsid w:val="00170CF5"/>
    <w:rsid w:val="001824E4"/>
    <w:rsid w:val="001832E8"/>
    <w:rsid w:val="00195319"/>
    <w:rsid w:val="00196050"/>
    <w:rsid w:val="0019716B"/>
    <w:rsid w:val="001A0B52"/>
    <w:rsid w:val="001A25C4"/>
    <w:rsid w:val="001B5349"/>
    <w:rsid w:val="001B7010"/>
    <w:rsid w:val="001B7EE1"/>
    <w:rsid w:val="001E5FE0"/>
    <w:rsid w:val="001F14C2"/>
    <w:rsid w:val="002055B6"/>
    <w:rsid w:val="00206792"/>
    <w:rsid w:val="00210D9F"/>
    <w:rsid w:val="0023770A"/>
    <w:rsid w:val="0026288D"/>
    <w:rsid w:val="00263DF6"/>
    <w:rsid w:val="0027553F"/>
    <w:rsid w:val="002816FE"/>
    <w:rsid w:val="002854AD"/>
    <w:rsid w:val="00287916"/>
    <w:rsid w:val="0029744A"/>
    <w:rsid w:val="002A6180"/>
    <w:rsid w:val="002A7FD6"/>
    <w:rsid w:val="002B54F5"/>
    <w:rsid w:val="002C11B2"/>
    <w:rsid w:val="002C2523"/>
    <w:rsid w:val="002C66C3"/>
    <w:rsid w:val="002D1147"/>
    <w:rsid w:val="002D2075"/>
    <w:rsid w:val="002D214D"/>
    <w:rsid w:val="00305921"/>
    <w:rsid w:val="00312438"/>
    <w:rsid w:val="0031711E"/>
    <w:rsid w:val="003175B4"/>
    <w:rsid w:val="0032088D"/>
    <w:rsid w:val="00322F1B"/>
    <w:rsid w:val="003316DE"/>
    <w:rsid w:val="00353AAF"/>
    <w:rsid w:val="00355082"/>
    <w:rsid w:val="003654B5"/>
    <w:rsid w:val="00371C0B"/>
    <w:rsid w:val="003A4E08"/>
    <w:rsid w:val="003C2177"/>
    <w:rsid w:val="003C2A4E"/>
    <w:rsid w:val="003C3FE1"/>
    <w:rsid w:val="003E0838"/>
    <w:rsid w:val="003F5767"/>
    <w:rsid w:val="004020D9"/>
    <w:rsid w:val="00407C72"/>
    <w:rsid w:val="004163D7"/>
    <w:rsid w:val="00426A0C"/>
    <w:rsid w:val="004311DE"/>
    <w:rsid w:val="004365C9"/>
    <w:rsid w:val="00442777"/>
    <w:rsid w:val="004739BE"/>
    <w:rsid w:val="00476489"/>
    <w:rsid w:val="00486A0F"/>
    <w:rsid w:val="00492702"/>
    <w:rsid w:val="004A43A2"/>
    <w:rsid w:val="004A5FF4"/>
    <w:rsid w:val="004A7D81"/>
    <w:rsid w:val="004C7DCB"/>
    <w:rsid w:val="004E1822"/>
    <w:rsid w:val="005006BD"/>
    <w:rsid w:val="00501A2F"/>
    <w:rsid w:val="00505EC1"/>
    <w:rsid w:val="00512A00"/>
    <w:rsid w:val="005130A7"/>
    <w:rsid w:val="0052459A"/>
    <w:rsid w:val="005251A5"/>
    <w:rsid w:val="00551B89"/>
    <w:rsid w:val="005766DD"/>
    <w:rsid w:val="00582D60"/>
    <w:rsid w:val="00594B75"/>
    <w:rsid w:val="005A11A8"/>
    <w:rsid w:val="005A22A9"/>
    <w:rsid w:val="005A284F"/>
    <w:rsid w:val="005D5D84"/>
    <w:rsid w:val="005E310F"/>
    <w:rsid w:val="005F5CE3"/>
    <w:rsid w:val="0060148B"/>
    <w:rsid w:val="0060286D"/>
    <w:rsid w:val="00616A67"/>
    <w:rsid w:val="00622CD4"/>
    <w:rsid w:val="00635CFE"/>
    <w:rsid w:val="0064166E"/>
    <w:rsid w:val="0064471B"/>
    <w:rsid w:val="00654F40"/>
    <w:rsid w:val="00656BD0"/>
    <w:rsid w:val="0066144B"/>
    <w:rsid w:val="00662509"/>
    <w:rsid w:val="00676033"/>
    <w:rsid w:val="00676331"/>
    <w:rsid w:val="00693068"/>
    <w:rsid w:val="006B0C37"/>
    <w:rsid w:val="006B6ECE"/>
    <w:rsid w:val="006B6F0B"/>
    <w:rsid w:val="006C1497"/>
    <w:rsid w:val="006C48CE"/>
    <w:rsid w:val="006F40B5"/>
    <w:rsid w:val="006F69B8"/>
    <w:rsid w:val="00704DC9"/>
    <w:rsid w:val="007115C5"/>
    <w:rsid w:val="00715A1E"/>
    <w:rsid w:val="00715FD9"/>
    <w:rsid w:val="007400AC"/>
    <w:rsid w:val="00756A74"/>
    <w:rsid w:val="0076336A"/>
    <w:rsid w:val="00796DD5"/>
    <w:rsid w:val="007A1C6F"/>
    <w:rsid w:val="007A5DA2"/>
    <w:rsid w:val="007A6E4F"/>
    <w:rsid w:val="007B2BA1"/>
    <w:rsid w:val="007C125F"/>
    <w:rsid w:val="007D2D9E"/>
    <w:rsid w:val="007E18D8"/>
    <w:rsid w:val="007E4E5A"/>
    <w:rsid w:val="007E74C7"/>
    <w:rsid w:val="00826231"/>
    <w:rsid w:val="008307D2"/>
    <w:rsid w:val="0083116F"/>
    <w:rsid w:val="00834116"/>
    <w:rsid w:val="008379C8"/>
    <w:rsid w:val="008519F1"/>
    <w:rsid w:val="008549CC"/>
    <w:rsid w:val="008634B7"/>
    <w:rsid w:val="0086700F"/>
    <w:rsid w:val="00872384"/>
    <w:rsid w:val="00873D6D"/>
    <w:rsid w:val="00881161"/>
    <w:rsid w:val="00882BA6"/>
    <w:rsid w:val="0088550B"/>
    <w:rsid w:val="0089344D"/>
    <w:rsid w:val="008A640C"/>
    <w:rsid w:val="008A7DF9"/>
    <w:rsid w:val="008D1889"/>
    <w:rsid w:val="008D21D5"/>
    <w:rsid w:val="008D284D"/>
    <w:rsid w:val="008E445F"/>
    <w:rsid w:val="008E4A32"/>
    <w:rsid w:val="008E7122"/>
    <w:rsid w:val="008F791E"/>
    <w:rsid w:val="0090025D"/>
    <w:rsid w:val="00944194"/>
    <w:rsid w:val="00944EA8"/>
    <w:rsid w:val="00970684"/>
    <w:rsid w:val="00995236"/>
    <w:rsid w:val="009B312C"/>
    <w:rsid w:val="009B7602"/>
    <w:rsid w:val="009C1E60"/>
    <w:rsid w:val="009C2867"/>
    <w:rsid w:val="009C3DC8"/>
    <w:rsid w:val="009C5E88"/>
    <w:rsid w:val="009C61D5"/>
    <w:rsid w:val="009E4930"/>
    <w:rsid w:val="009E6C26"/>
    <w:rsid w:val="009F734A"/>
    <w:rsid w:val="00A1129D"/>
    <w:rsid w:val="00A13591"/>
    <w:rsid w:val="00A153C5"/>
    <w:rsid w:val="00A25CE3"/>
    <w:rsid w:val="00A32581"/>
    <w:rsid w:val="00A41068"/>
    <w:rsid w:val="00A44C0F"/>
    <w:rsid w:val="00A525BC"/>
    <w:rsid w:val="00A54002"/>
    <w:rsid w:val="00A60A5C"/>
    <w:rsid w:val="00A81D6D"/>
    <w:rsid w:val="00A83B95"/>
    <w:rsid w:val="00A9323F"/>
    <w:rsid w:val="00A971A3"/>
    <w:rsid w:val="00AB06AF"/>
    <w:rsid w:val="00AB10FF"/>
    <w:rsid w:val="00AB1BA9"/>
    <w:rsid w:val="00AB2C43"/>
    <w:rsid w:val="00AC745A"/>
    <w:rsid w:val="00AD340E"/>
    <w:rsid w:val="00AD6A4A"/>
    <w:rsid w:val="00AE485C"/>
    <w:rsid w:val="00AE7217"/>
    <w:rsid w:val="00AF1A32"/>
    <w:rsid w:val="00AF22E5"/>
    <w:rsid w:val="00AF42AC"/>
    <w:rsid w:val="00B12B53"/>
    <w:rsid w:val="00B13074"/>
    <w:rsid w:val="00B35784"/>
    <w:rsid w:val="00B42C81"/>
    <w:rsid w:val="00B567DE"/>
    <w:rsid w:val="00B624CA"/>
    <w:rsid w:val="00B67826"/>
    <w:rsid w:val="00B72754"/>
    <w:rsid w:val="00B74DC9"/>
    <w:rsid w:val="00B84410"/>
    <w:rsid w:val="00B9048B"/>
    <w:rsid w:val="00B94190"/>
    <w:rsid w:val="00B951E8"/>
    <w:rsid w:val="00BB0F35"/>
    <w:rsid w:val="00BB4759"/>
    <w:rsid w:val="00BD74FD"/>
    <w:rsid w:val="00BE089F"/>
    <w:rsid w:val="00BF4071"/>
    <w:rsid w:val="00C01B67"/>
    <w:rsid w:val="00C07433"/>
    <w:rsid w:val="00C11366"/>
    <w:rsid w:val="00C1230F"/>
    <w:rsid w:val="00C14445"/>
    <w:rsid w:val="00C16251"/>
    <w:rsid w:val="00C17D5D"/>
    <w:rsid w:val="00C20187"/>
    <w:rsid w:val="00C42D7E"/>
    <w:rsid w:val="00C54C7E"/>
    <w:rsid w:val="00C8104F"/>
    <w:rsid w:val="00C83A15"/>
    <w:rsid w:val="00C879F4"/>
    <w:rsid w:val="00C902D0"/>
    <w:rsid w:val="00CB1D5B"/>
    <w:rsid w:val="00CC1B37"/>
    <w:rsid w:val="00CC2F1E"/>
    <w:rsid w:val="00CC31B5"/>
    <w:rsid w:val="00CC459A"/>
    <w:rsid w:val="00CC703A"/>
    <w:rsid w:val="00CD306E"/>
    <w:rsid w:val="00CD4489"/>
    <w:rsid w:val="00CF5DAB"/>
    <w:rsid w:val="00CF60B5"/>
    <w:rsid w:val="00D04AD1"/>
    <w:rsid w:val="00D14989"/>
    <w:rsid w:val="00D17E39"/>
    <w:rsid w:val="00D21232"/>
    <w:rsid w:val="00D26A0F"/>
    <w:rsid w:val="00D272D2"/>
    <w:rsid w:val="00D3328E"/>
    <w:rsid w:val="00D332C9"/>
    <w:rsid w:val="00D3412E"/>
    <w:rsid w:val="00D37C20"/>
    <w:rsid w:val="00D4008D"/>
    <w:rsid w:val="00D56A08"/>
    <w:rsid w:val="00D64A76"/>
    <w:rsid w:val="00D65321"/>
    <w:rsid w:val="00D670BB"/>
    <w:rsid w:val="00D733FA"/>
    <w:rsid w:val="00D83B18"/>
    <w:rsid w:val="00D94417"/>
    <w:rsid w:val="00D97A10"/>
    <w:rsid w:val="00DA2CF0"/>
    <w:rsid w:val="00DA432C"/>
    <w:rsid w:val="00DB6AE3"/>
    <w:rsid w:val="00DC1F28"/>
    <w:rsid w:val="00DC7D6D"/>
    <w:rsid w:val="00DE14A4"/>
    <w:rsid w:val="00E06913"/>
    <w:rsid w:val="00E109FC"/>
    <w:rsid w:val="00E1363E"/>
    <w:rsid w:val="00E13B5C"/>
    <w:rsid w:val="00E16078"/>
    <w:rsid w:val="00E161FB"/>
    <w:rsid w:val="00E226AD"/>
    <w:rsid w:val="00E31AF2"/>
    <w:rsid w:val="00E33060"/>
    <w:rsid w:val="00E339E2"/>
    <w:rsid w:val="00E34EC1"/>
    <w:rsid w:val="00E365EF"/>
    <w:rsid w:val="00E368DA"/>
    <w:rsid w:val="00E55BFB"/>
    <w:rsid w:val="00E62B2F"/>
    <w:rsid w:val="00E707F7"/>
    <w:rsid w:val="00E725A5"/>
    <w:rsid w:val="00E76103"/>
    <w:rsid w:val="00E82460"/>
    <w:rsid w:val="00E87AE1"/>
    <w:rsid w:val="00E97651"/>
    <w:rsid w:val="00EA3067"/>
    <w:rsid w:val="00EB42BB"/>
    <w:rsid w:val="00ED238F"/>
    <w:rsid w:val="00ED3505"/>
    <w:rsid w:val="00ED742D"/>
    <w:rsid w:val="00EE6718"/>
    <w:rsid w:val="00EF2373"/>
    <w:rsid w:val="00EF6830"/>
    <w:rsid w:val="00F04A3A"/>
    <w:rsid w:val="00F107B3"/>
    <w:rsid w:val="00F3073F"/>
    <w:rsid w:val="00F4009C"/>
    <w:rsid w:val="00F53060"/>
    <w:rsid w:val="00F5594A"/>
    <w:rsid w:val="00F56230"/>
    <w:rsid w:val="00F569A5"/>
    <w:rsid w:val="00F700FB"/>
    <w:rsid w:val="00F8707D"/>
    <w:rsid w:val="00F90CB5"/>
    <w:rsid w:val="00F96F2E"/>
    <w:rsid w:val="00FA003D"/>
    <w:rsid w:val="00FA69F7"/>
    <w:rsid w:val="00FB3CBA"/>
    <w:rsid w:val="00FD1C59"/>
    <w:rsid w:val="00FD4EB7"/>
    <w:rsid w:val="00FD551D"/>
    <w:rsid w:val="00FE227A"/>
    <w:rsid w:val="00FE2B31"/>
    <w:rsid w:val="00FE5E39"/>
    <w:rsid w:val="00FF2E30"/>
    <w:rsid w:val="01CE412A"/>
    <w:rsid w:val="05424A7D"/>
    <w:rsid w:val="082952D0"/>
    <w:rsid w:val="08A534FA"/>
    <w:rsid w:val="0A2B1A15"/>
    <w:rsid w:val="0A94304D"/>
    <w:rsid w:val="0DE143E4"/>
    <w:rsid w:val="1047656E"/>
    <w:rsid w:val="161846D0"/>
    <w:rsid w:val="16282F9E"/>
    <w:rsid w:val="17F759DA"/>
    <w:rsid w:val="1C951B33"/>
    <w:rsid w:val="1CA31732"/>
    <w:rsid w:val="23756018"/>
    <w:rsid w:val="250A58F5"/>
    <w:rsid w:val="261E1F10"/>
    <w:rsid w:val="286F6680"/>
    <w:rsid w:val="2B604F4E"/>
    <w:rsid w:val="2EBB3401"/>
    <w:rsid w:val="2F3A3A5B"/>
    <w:rsid w:val="36517B2D"/>
    <w:rsid w:val="380628CD"/>
    <w:rsid w:val="39AA1A08"/>
    <w:rsid w:val="3B04504F"/>
    <w:rsid w:val="3CB34A11"/>
    <w:rsid w:val="3DF10096"/>
    <w:rsid w:val="3E5C4F94"/>
    <w:rsid w:val="3F7D204F"/>
    <w:rsid w:val="426739F1"/>
    <w:rsid w:val="42BC0DD0"/>
    <w:rsid w:val="43782CCA"/>
    <w:rsid w:val="47E77D07"/>
    <w:rsid w:val="48591E73"/>
    <w:rsid w:val="4B5C3E1A"/>
    <w:rsid w:val="4CD81915"/>
    <w:rsid w:val="4DEC11A5"/>
    <w:rsid w:val="4E4714F4"/>
    <w:rsid w:val="4E751EFD"/>
    <w:rsid w:val="50C74333"/>
    <w:rsid w:val="50E355BD"/>
    <w:rsid w:val="52854E3C"/>
    <w:rsid w:val="54AD78EA"/>
    <w:rsid w:val="55AB6A76"/>
    <w:rsid w:val="57490CB7"/>
    <w:rsid w:val="58C00828"/>
    <w:rsid w:val="5A59359B"/>
    <w:rsid w:val="5BF92F2C"/>
    <w:rsid w:val="60034DCD"/>
    <w:rsid w:val="60F32634"/>
    <w:rsid w:val="63B64FB1"/>
    <w:rsid w:val="65431693"/>
    <w:rsid w:val="68235619"/>
    <w:rsid w:val="6A2E2FDF"/>
    <w:rsid w:val="6A9321E4"/>
    <w:rsid w:val="6DAF7884"/>
    <w:rsid w:val="6FF04401"/>
    <w:rsid w:val="70972202"/>
    <w:rsid w:val="71382B18"/>
    <w:rsid w:val="74D11B75"/>
    <w:rsid w:val="772107CF"/>
    <w:rsid w:val="779303CC"/>
    <w:rsid w:val="78856045"/>
    <w:rsid w:val="7A320BE3"/>
    <w:rsid w:val="7AC502AD"/>
    <w:rsid w:val="7AEC1871"/>
    <w:rsid w:val="7B000955"/>
    <w:rsid w:val="7F1B4EB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rPr>
      <w:sz w:val="24"/>
    </w:rPr>
  </w:style>
  <w:style w:type="character" w:styleId="8">
    <w:name w:val="Strong"/>
    <w:basedOn w:val="7"/>
    <w:qFormat/>
    <w:uiPriority w:val="0"/>
    <w:rPr>
      <w:b/>
    </w:rPr>
  </w:style>
  <w:style w:type="character" w:styleId="9">
    <w:name w:val="page number"/>
    <w:qFormat/>
    <w:uiPriority w:val="0"/>
  </w:style>
  <w:style w:type="character" w:customStyle="1" w:styleId="10">
    <w:name w:val="页脚 Char"/>
    <w:link w:val="3"/>
    <w:qFormat/>
    <w:uiPriority w:val="0"/>
    <w:rPr>
      <w:kern w:val="2"/>
      <w:sz w:val="18"/>
      <w:szCs w:val="18"/>
    </w:rPr>
  </w:style>
  <w:style w:type="character" w:customStyle="1" w:styleId="11">
    <w:name w:val="页眉 Char"/>
    <w:link w:val="4"/>
    <w:qFormat/>
    <w:uiPriority w:val="0"/>
    <w:rPr>
      <w:kern w:val="2"/>
      <w:sz w:val="18"/>
      <w:szCs w:val="18"/>
    </w:rPr>
  </w:style>
  <w:style w:type="character" w:customStyle="1" w:styleId="12">
    <w:name w:val="style131"/>
    <w:qFormat/>
    <w:uiPriority w:val="0"/>
    <w:rPr>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WwW.YlmF.CoM</Company>
  <Pages>2</Pages>
  <Words>1723</Words>
  <Characters>1855</Characters>
  <Lines>9</Lines>
  <Paragraphs>2</Paragraphs>
  <TotalTime>6</TotalTime>
  <ScaleCrop>false</ScaleCrop>
  <LinksUpToDate>false</LinksUpToDate>
  <CharactersWithSpaces>1861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2021-03-25T03:12:00Z</dcterms:created>
  <dc:creator>雨林木风</dc:creator>
  <cp:lastModifiedBy>WPS_1675125882</cp:lastModifiedBy>
  <cp:lastPrinted>2025-05-28T03:20:00Z</cp:lastPrinted>
  <dcterms:modified xsi:type="dcterms:W3CDTF">2025-10-27T03:27:06Z</dcterms:modified>
  <dc:title>附件：</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15BF3DC1B0484CF89D21DA4D3A24B70D_13</vt:lpwstr>
  </property>
  <property fmtid="{D5CDD505-2E9C-101B-9397-08002B2CF9AE}" pid="4" name="KSOTemplateDocerSaveRecord">
    <vt:lpwstr>eyJoZGlkIjoiZTY3ZmI2NTUzZTBjMzYyNjhhMjY4YmIwMmVlYmUwN2QiLCJ1c2VySWQiOiIxNDY5NjQ3MjczIn0=</vt:lpwstr>
  </property>
</Properties>
</file>