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BFEAB1">
      <w:pPr>
        <w:keepNext w:val="0"/>
        <w:keepLines w:val="0"/>
        <w:pageBreakBefore w:val="0"/>
        <w:kinsoku/>
        <w:wordWrap/>
        <w:overflowPunct/>
        <w:topLinePunct w:val="0"/>
        <w:autoSpaceDE/>
        <w:autoSpaceDN/>
        <w:bidi w:val="0"/>
        <w:adjustRightInd/>
        <w:snapToGrid/>
        <w:spacing w:line="380" w:lineRule="atLeast"/>
        <w:jc w:val="center"/>
        <w:textAlignment w:val="auto"/>
        <w:rPr>
          <w:rFonts w:hint="eastAsia" w:ascii="宋体" w:hAnsi="宋体"/>
          <w:b/>
          <w:color w:val="auto"/>
          <w:sz w:val="28"/>
          <w:szCs w:val="28"/>
        </w:rPr>
      </w:pPr>
      <w:r>
        <w:rPr>
          <w:rFonts w:hint="eastAsia" w:ascii="宋体" w:hAnsi="宋体"/>
          <w:b/>
          <w:color w:val="auto"/>
          <w:sz w:val="28"/>
          <w:szCs w:val="28"/>
        </w:rPr>
        <w:t>浙江</w:t>
      </w:r>
      <w:r>
        <w:rPr>
          <w:rFonts w:hint="eastAsia" w:ascii="宋体" w:hAnsi="宋体"/>
          <w:b/>
          <w:color w:val="auto"/>
          <w:sz w:val="28"/>
          <w:szCs w:val="28"/>
          <w:lang w:val="en-US" w:eastAsia="zh-CN"/>
        </w:rPr>
        <w:t>乐清</w:t>
      </w:r>
      <w:r>
        <w:rPr>
          <w:rFonts w:ascii="宋体" w:hAnsi="宋体"/>
          <w:b/>
          <w:color w:val="auto"/>
          <w:sz w:val="28"/>
          <w:szCs w:val="22"/>
        </w:rPr>
        <w:t>“五优联动”</w:t>
      </w:r>
      <w:r>
        <w:rPr>
          <w:rFonts w:hint="eastAsia" w:ascii="宋体" w:hAnsi="宋体"/>
          <w:b/>
          <w:color w:val="auto"/>
          <w:sz w:val="28"/>
          <w:szCs w:val="22"/>
          <w:lang w:val="en-US" w:eastAsia="zh-CN"/>
        </w:rPr>
        <w:t>优质晚稻谷</w:t>
      </w:r>
      <w:r>
        <w:rPr>
          <w:rFonts w:ascii="宋体" w:hAnsi="宋体"/>
          <w:b/>
          <w:color w:val="auto"/>
          <w:sz w:val="28"/>
          <w:szCs w:val="22"/>
        </w:rPr>
        <w:t>公开竞价</w:t>
      </w:r>
      <w:r>
        <w:rPr>
          <w:rFonts w:hint="eastAsia" w:ascii="宋体" w:hAnsi="宋体"/>
          <w:b/>
          <w:color w:val="auto"/>
          <w:sz w:val="28"/>
          <w:szCs w:val="22"/>
          <w:lang w:val="en-US" w:eastAsia="zh-CN"/>
        </w:rPr>
        <w:t>交易</w:t>
      </w:r>
      <w:r>
        <w:rPr>
          <w:rFonts w:ascii="宋体" w:hAnsi="宋体"/>
          <w:b/>
          <w:color w:val="auto"/>
          <w:sz w:val="28"/>
          <w:szCs w:val="22"/>
        </w:rPr>
        <w:t>粮油交割细则</w:t>
      </w:r>
    </w:p>
    <w:p w14:paraId="2BED73F1">
      <w:pPr>
        <w:keepNext w:val="0"/>
        <w:keepLines w:val="0"/>
        <w:pageBreakBefore w:val="0"/>
        <w:kinsoku/>
        <w:wordWrap/>
        <w:overflowPunct/>
        <w:topLinePunct w:val="0"/>
        <w:autoSpaceDE/>
        <w:autoSpaceDN/>
        <w:bidi w:val="0"/>
        <w:adjustRightInd/>
        <w:snapToGrid/>
        <w:spacing w:line="380" w:lineRule="atLeast"/>
        <w:jc w:val="center"/>
        <w:textAlignment w:val="auto"/>
        <w:rPr>
          <w:rFonts w:hint="eastAsia" w:ascii="宋体" w:hAnsi="宋体" w:cs="宋体"/>
          <w:color w:val="auto"/>
          <w:kern w:val="0"/>
          <w:sz w:val="24"/>
        </w:rPr>
      </w:pPr>
      <w:r>
        <w:rPr>
          <w:rFonts w:hint="eastAsia" w:ascii="宋体" w:hAnsi="宋体"/>
          <w:b/>
          <w:color w:val="auto"/>
          <w:sz w:val="32"/>
          <w:szCs w:val="32"/>
        </w:rPr>
        <w:t>（</w:t>
      </w:r>
      <w:r>
        <w:rPr>
          <w:rFonts w:ascii="宋体" w:hAnsi="宋体"/>
          <w:b/>
          <w:color w:val="auto"/>
          <w:sz w:val="31"/>
        </w:rPr>
        <w:t>国粮浙交</w:t>
      </w:r>
      <w:r>
        <w:rPr>
          <w:rFonts w:hint="eastAsia" w:ascii="宋体" w:hAnsi="宋体"/>
          <w:b/>
          <w:color w:val="auto"/>
          <w:sz w:val="31"/>
          <w:lang w:val="en-US" w:eastAsia="zh-CN"/>
        </w:rPr>
        <w:t>2025</w:t>
      </w:r>
      <w:r>
        <w:rPr>
          <w:rFonts w:ascii="宋体" w:hAnsi="宋体"/>
          <w:b/>
          <w:color w:val="auto"/>
          <w:sz w:val="31"/>
        </w:rPr>
        <w:t>第</w:t>
      </w:r>
      <w:r>
        <w:rPr>
          <w:rFonts w:hint="eastAsia" w:ascii="宋体" w:hAnsi="宋体"/>
          <w:b/>
          <w:color w:val="auto"/>
          <w:sz w:val="31"/>
          <w:lang w:val="en-US" w:eastAsia="zh-CN"/>
        </w:rPr>
        <w:t>887</w:t>
      </w:r>
      <w:bookmarkStart w:id="0" w:name="_GoBack"/>
      <w:bookmarkEnd w:id="0"/>
      <w:r>
        <w:rPr>
          <w:rFonts w:ascii="宋体" w:hAnsi="宋体"/>
          <w:b/>
          <w:color w:val="auto"/>
          <w:sz w:val="31"/>
        </w:rPr>
        <w:t>号</w:t>
      </w:r>
      <w:r>
        <w:rPr>
          <w:rFonts w:hint="eastAsia" w:ascii="宋体" w:hAnsi="宋体"/>
          <w:b/>
          <w:color w:val="auto"/>
          <w:sz w:val="32"/>
          <w:szCs w:val="32"/>
        </w:rPr>
        <w:t>）</w:t>
      </w:r>
    </w:p>
    <w:p w14:paraId="2E47EC2B">
      <w:pPr>
        <w:keepNext w:val="0"/>
        <w:keepLines w:val="0"/>
        <w:pageBreakBefore w:val="0"/>
        <w:kinsoku/>
        <w:wordWrap/>
        <w:overflowPunct/>
        <w:topLinePunct w:val="0"/>
        <w:autoSpaceDE/>
        <w:autoSpaceDN/>
        <w:bidi w:val="0"/>
        <w:adjustRightInd/>
        <w:snapToGrid/>
        <w:spacing w:line="380" w:lineRule="atLeast"/>
        <w:ind w:firstLine="484" w:firstLineChars="202"/>
        <w:textAlignment w:val="auto"/>
        <w:rPr>
          <w:rFonts w:ascii="宋体" w:cs="宋体"/>
          <w:color w:val="auto"/>
          <w:kern w:val="0"/>
          <w:sz w:val="24"/>
        </w:rPr>
      </w:pPr>
      <w:r>
        <w:rPr>
          <w:rFonts w:hint="eastAsia" w:ascii="宋体" w:hAnsi="宋体" w:cs="宋体"/>
          <w:color w:val="auto"/>
          <w:kern w:val="0"/>
          <w:sz w:val="24"/>
        </w:rPr>
        <w:t>根据</w:t>
      </w:r>
      <w:r>
        <w:rPr>
          <w:rFonts w:hint="eastAsia" w:ascii="宋体" w:hAnsi="宋体" w:cs="宋体"/>
          <w:color w:val="auto"/>
          <w:kern w:val="0"/>
          <w:sz w:val="24"/>
          <w:highlight w:val="none"/>
        </w:rPr>
        <w:t>《</w:t>
      </w:r>
      <w:r>
        <w:rPr>
          <w:rFonts w:hint="eastAsia" w:ascii="宋体" w:hAnsi="宋体" w:cs="宋体"/>
          <w:color w:val="auto"/>
          <w:kern w:val="0"/>
          <w:sz w:val="24"/>
          <w:highlight w:val="none"/>
          <w:lang w:val="en-US" w:eastAsia="zh-CN"/>
        </w:rPr>
        <w:t>乐清市发展和改革局 乐清市财政局 乐清市农业农村局 中国农业发展银行乐清支行关于印发&lt;乐清市2025年“五优联动”工作实施方案&gt;的通知</w:t>
      </w:r>
      <w:r>
        <w:rPr>
          <w:rFonts w:hint="eastAsia" w:ascii="宋体" w:hAnsi="宋体" w:cs="宋体"/>
          <w:color w:val="auto"/>
          <w:kern w:val="0"/>
          <w:sz w:val="24"/>
          <w:highlight w:val="none"/>
        </w:rPr>
        <w:t>》（</w:t>
      </w:r>
      <w:r>
        <w:rPr>
          <w:rFonts w:hint="eastAsia" w:ascii="宋体" w:hAnsi="宋体" w:cs="宋体"/>
          <w:color w:val="auto"/>
          <w:kern w:val="0"/>
          <w:sz w:val="24"/>
          <w:highlight w:val="none"/>
          <w:lang w:val="en-US" w:eastAsia="zh-CN"/>
        </w:rPr>
        <w:t>乐发改</w:t>
      </w:r>
      <w:r>
        <w:rPr>
          <w:rFonts w:hint="eastAsia" w:ascii="宋体" w:hAnsi="宋体" w:cs="宋体"/>
          <w:color w:val="auto"/>
          <w:kern w:val="0"/>
          <w:sz w:val="24"/>
        </w:rPr>
        <w:t>〔202</w:t>
      </w:r>
      <w:r>
        <w:rPr>
          <w:rFonts w:hint="eastAsia" w:ascii="宋体" w:hAnsi="宋体" w:cs="宋体"/>
          <w:color w:val="auto"/>
          <w:kern w:val="0"/>
          <w:sz w:val="24"/>
          <w:lang w:val="en-US" w:eastAsia="zh-CN"/>
        </w:rPr>
        <w:t>5</w:t>
      </w:r>
      <w:r>
        <w:rPr>
          <w:rFonts w:hint="eastAsia" w:ascii="宋体" w:hAnsi="宋体" w:cs="宋体"/>
          <w:color w:val="auto"/>
          <w:kern w:val="0"/>
          <w:sz w:val="24"/>
        </w:rPr>
        <w:t>〕</w:t>
      </w:r>
      <w:r>
        <w:rPr>
          <w:rFonts w:hint="eastAsia" w:ascii="宋体" w:hAnsi="宋体" w:cs="宋体"/>
          <w:color w:val="auto"/>
          <w:kern w:val="0"/>
          <w:sz w:val="24"/>
          <w:highlight w:val="none"/>
          <w:lang w:val="en-US" w:eastAsia="zh-CN"/>
        </w:rPr>
        <w:t>19号</w:t>
      </w:r>
      <w:r>
        <w:rPr>
          <w:rFonts w:hint="eastAsia" w:ascii="宋体" w:hAnsi="宋体" w:cs="宋体"/>
          <w:color w:val="auto"/>
          <w:kern w:val="0"/>
          <w:sz w:val="24"/>
          <w:highlight w:val="none"/>
        </w:rPr>
        <w:t>）</w:t>
      </w:r>
      <w:r>
        <w:rPr>
          <w:rFonts w:hint="eastAsia" w:ascii="宋体" w:hAnsi="宋体" w:cs="宋体"/>
          <w:color w:val="auto"/>
          <w:kern w:val="0"/>
          <w:sz w:val="24"/>
        </w:rPr>
        <w:t>文件要求，现对参与</w:t>
      </w:r>
      <w:r>
        <w:rPr>
          <w:rFonts w:hint="eastAsia" w:ascii="宋体" w:hAnsi="宋体" w:cs="宋体"/>
          <w:color w:val="auto"/>
          <w:kern w:val="0"/>
          <w:sz w:val="24"/>
          <w:lang w:val="en-US" w:eastAsia="zh-CN"/>
        </w:rPr>
        <w:t>乐清市</w:t>
      </w:r>
      <w:r>
        <w:rPr>
          <w:rFonts w:hint="eastAsia" w:ascii="宋体" w:hAnsi="宋体" w:cs="宋体"/>
          <w:color w:val="auto"/>
          <w:kern w:val="0"/>
          <w:sz w:val="24"/>
        </w:rPr>
        <w:t>“五优联动”加工企业进行公开竞价，欢迎符合条件的粮食加工企业前来竞价。现公告如下：</w:t>
      </w:r>
    </w:p>
    <w:p w14:paraId="054E61C0">
      <w:pPr>
        <w:keepNext w:val="0"/>
        <w:keepLines w:val="0"/>
        <w:pageBreakBefore w:val="0"/>
        <w:widowControl/>
        <w:numPr>
          <w:ilvl w:val="0"/>
          <w:numId w:val="1"/>
        </w:numPr>
        <w:kinsoku/>
        <w:wordWrap/>
        <w:overflowPunct/>
        <w:topLinePunct w:val="0"/>
        <w:autoSpaceDE/>
        <w:autoSpaceDN/>
        <w:bidi w:val="0"/>
        <w:adjustRightInd/>
        <w:snapToGrid/>
        <w:spacing w:line="380" w:lineRule="atLeast"/>
        <w:jc w:val="left"/>
        <w:textAlignment w:val="auto"/>
        <w:rPr>
          <w:rFonts w:hint="eastAsia" w:ascii="宋体" w:hAnsi="宋体" w:cs="宋体"/>
          <w:b/>
          <w:bCs/>
          <w:color w:val="auto"/>
          <w:kern w:val="0"/>
          <w:sz w:val="24"/>
        </w:rPr>
      </w:pPr>
      <w:r>
        <w:rPr>
          <w:rFonts w:hint="eastAsia" w:ascii="宋体" w:hAnsi="宋体" w:cs="宋体"/>
          <w:b/>
          <w:bCs/>
          <w:color w:val="auto"/>
          <w:kern w:val="0"/>
          <w:sz w:val="24"/>
        </w:rPr>
        <w:t>竞价需求</w:t>
      </w:r>
    </w:p>
    <w:p w14:paraId="61B6D867">
      <w:pPr>
        <w:keepNext w:val="0"/>
        <w:keepLines w:val="0"/>
        <w:pageBreakBefore w:val="0"/>
        <w:widowControl/>
        <w:numPr>
          <w:ilvl w:val="0"/>
          <w:numId w:val="0"/>
        </w:numPr>
        <w:kinsoku/>
        <w:wordWrap/>
        <w:overflowPunct/>
        <w:topLinePunct w:val="0"/>
        <w:autoSpaceDE/>
        <w:autoSpaceDN/>
        <w:bidi w:val="0"/>
        <w:adjustRightInd/>
        <w:snapToGrid/>
        <w:spacing w:line="380" w:lineRule="atLeast"/>
        <w:ind w:firstLine="480" w:firstLineChars="200"/>
        <w:jc w:val="left"/>
        <w:textAlignment w:val="auto"/>
        <w:rPr>
          <w:rFonts w:hint="eastAsia" w:ascii="宋体" w:hAnsi="宋体" w:cs="宋体"/>
          <w:b w:val="0"/>
          <w:bCs w:val="0"/>
          <w:color w:val="auto"/>
          <w:kern w:val="0"/>
          <w:sz w:val="24"/>
        </w:rPr>
      </w:pPr>
      <w:r>
        <w:rPr>
          <w:rFonts w:hint="eastAsia" w:ascii="宋体" w:hAnsi="宋体" w:cs="宋体"/>
          <w:b w:val="0"/>
          <w:bCs w:val="0"/>
          <w:color w:val="auto"/>
          <w:kern w:val="0"/>
          <w:sz w:val="24"/>
        </w:rPr>
        <w:t>2025年</w:t>
      </w:r>
      <w:r>
        <w:rPr>
          <w:rFonts w:hint="eastAsia" w:ascii="宋体" w:hAnsi="宋体" w:cs="宋体"/>
          <w:b w:val="0"/>
          <w:bCs w:val="0"/>
          <w:color w:val="auto"/>
          <w:kern w:val="0"/>
          <w:sz w:val="24"/>
          <w:lang w:val="en-US" w:eastAsia="zh-CN"/>
        </w:rPr>
        <w:t>乐清市</w:t>
      </w:r>
      <w:r>
        <w:rPr>
          <w:rFonts w:hint="eastAsia" w:ascii="宋体" w:hAnsi="宋体" w:cs="宋体"/>
          <w:b w:val="0"/>
          <w:bCs w:val="0"/>
          <w:color w:val="auto"/>
          <w:kern w:val="0"/>
          <w:sz w:val="24"/>
        </w:rPr>
        <w:t>“五优联动”优质</w:t>
      </w:r>
      <w:r>
        <w:rPr>
          <w:rFonts w:hint="eastAsia" w:ascii="宋体" w:hAnsi="宋体" w:cs="宋体"/>
          <w:b w:val="0"/>
          <w:bCs w:val="0"/>
          <w:color w:val="auto"/>
          <w:kern w:val="0"/>
          <w:sz w:val="24"/>
          <w:lang w:eastAsia="zh-CN"/>
        </w:rPr>
        <w:t>晚稻谷</w:t>
      </w:r>
      <w:r>
        <w:rPr>
          <w:rFonts w:hint="eastAsia" w:ascii="宋体" w:hAnsi="宋体" w:cs="宋体"/>
          <w:b w:val="0"/>
          <w:bCs w:val="0"/>
          <w:color w:val="auto"/>
          <w:kern w:val="0"/>
          <w:sz w:val="24"/>
        </w:rPr>
        <w:t>订单规模总量为</w:t>
      </w:r>
      <w:r>
        <w:rPr>
          <w:rFonts w:hint="eastAsia" w:ascii="宋体" w:hAnsi="宋体" w:cs="宋体"/>
          <w:b w:val="0"/>
          <w:bCs w:val="0"/>
          <w:color w:val="auto"/>
          <w:kern w:val="0"/>
          <w:sz w:val="24"/>
          <w:lang w:val="en-US" w:eastAsia="zh-CN"/>
        </w:rPr>
        <w:t>7000</w:t>
      </w:r>
      <w:r>
        <w:rPr>
          <w:rFonts w:hint="eastAsia" w:ascii="宋体" w:hAnsi="宋体" w:cs="宋体"/>
          <w:b w:val="0"/>
          <w:bCs w:val="0"/>
          <w:color w:val="auto"/>
          <w:kern w:val="0"/>
          <w:sz w:val="24"/>
        </w:rPr>
        <w:t>吨，共</w:t>
      </w:r>
      <w:r>
        <w:rPr>
          <w:rFonts w:hint="eastAsia" w:ascii="宋体" w:hAnsi="宋体" w:cs="宋体"/>
          <w:b w:val="0"/>
          <w:bCs w:val="0"/>
          <w:color w:val="auto"/>
          <w:kern w:val="0"/>
          <w:sz w:val="24"/>
          <w:lang w:val="en-US" w:eastAsia="zh-CN"/>
        </w:rPr>
        <w:t>3</w:t>
      </w:r>
      <w:r>
        <w:rPr>
          <w:rFonts w:hint="eastAsia" w:ascii="宋体" w:hAnsi="宋体" w:cs="宋体"/>
          <w:b w:val="0"/>
          <w:bCs w:val="0"/>
          <w:color w:val="auto"/>
          <w:kern w:val="0"/>
          <w:sz w:val="24"/>
        </w:rPr>
        <w:t>个标段，品种为</w:t>
      </w:r>
      <w:r>
        <w:rPr>
          <w:rFonts w:hint="eastAsia" w:ascii="宋体" w:hAnsi="宋体" w:eastAsia="宋体" w:cs="Times New Roman"/>
          <w:color w:val="auto"/>
          <w:kern w:val="0"/>
          <w:sz w:val="24"/>
          <w:szCs w:val="24"/>
          <w:lang w:eastAsia="zh-CN"/>
        </w:rPr>
        <w:t>甬优</w:t>
      </w:r>
      <w:r>
        <w:rPr>
          <w:rFonts w:hint="eastAsia" w:ascii="宋体" w:hAnsi="宋体" w:eastAsia="宋体" w:cs="Times New Roman"/>
          <w:color w:val="auto"/>
          <w:kern w:val="0"/>
          <w:sz w:val="24"/>
          <w:szCs w:val="24"/>
          <w:lang w:val="en-US" w:eastAsia="zh-CN"/>
        </w:rPr>
        <w:t>15号、嘉科优11号、嘉丰优2号</w:t>
      </w:r>
      <w:r>
        <w:rPr>
          <w:rFonts w:hint="eastAsia" w:ascii="宋体" w:hAnsi="宋体" w:cs="宋体"/>
          <w:b w:val="0"/>
          <w:bCs w:val="0"/>
          <w:color w:val="auto"/>
          <w:kern w:val="0"/>
          <w:sz w:val="24"/>
        </w:rPr>
        <w:t>，竞价为“优质加价”，详见交易清单。</w:t>
      </w:r>
    </w:p>
    <w:p w14:paraId="60EEA0C9">
      <w:pPr>
        <w:keepNext w:val="0"/>
        <w:keepLines w:val="0"/>
        <w:pageBreakBefore w:val="0"/>
        <w:widowControl/>
        <w:kinsoku/>
        <w:wordWrap/>
        <w:overflowPunct/>
        <w:topLinePunct w:val="0"/>
        <w:autoSpaceDE/>
        <w:autoSpaceDN/>
        <w:bidi w:val="0"/>
        <w:adjustRightInd/>
        <w:snapToGrid/>
        <w:spacing w:line="380" w:lineRule="atLeast"/>
        <w:jc w:val="left"/>
        <w:textAlignment w:val="auto"/>
        <w:rPr>
          <w:rFonts w:ascii="宋体" w:cs="宋体"/>
          <w:color w:val="auto"/>
          <w:kern w:val="0"/>
          <w:sz w:val="24"/>
        </w:rPr>
      </w:pPr>
      <w:r>
        <w:rPr>
          <w:rFonts w:hint="eastAsia" w:ascii="宋体" w:hAnsi="宋体" w:cs="宋体"/>
          <w:color w:val="auto"/>
          <w:kern w:val="0"/>
          <w:sz w:val="24"/>
        </w:rPr>
        <w:t>（一）基本情况</w:t>
      </w:r>
    </w:p>
    <w:p w14:paraId="5C17C11C">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hint="eastAsia" w:ascii="宋体" w:eastAsia="宋体" w:cs="宋体"/>
          <w:color w:val="auto"/>
          <w:kern w:val="0"/>
          <w:sz w:val="24"/>
          <w:lang w:eastAsia="zh-CN"/>
        </w:rPr>
      </w:pPr>
      <w:r>
        <w:rPr>
          <w:rFonts w:ascii="宋体" w:hAnsi="宋体" w:cs="宋体"/>
          <w:color w:val="auto"/>
          <w:kern w:val="0"/>
          <w:sz w:val="24"/>
        </w:rPr>
        <w:t>1</w:t>
      </w:r>
      <w:r>
        <w:rPr>
          <w:rFonts w:hint="eastAsia" w:ascii="宋体" w:hAnsi="宋体" w:cs="宋体"/>
          <w:color w:val="auto"/>
          <w:kern w:val="0"/>
          <w:sz w:val="24"/>
        </w:rPr>
        <w:t>、</w:t>
      </w:r>
      <w:r>
        <w:rPr>
          <w:rFonts w:ascii="宋体" w:hAnsi="宋体" w:cs="宋体"/>
          <w:color w:val="auto"/>
          <w:kern w:val="0"/>
          <w:sz w:val="24"/>
        </w:rPr>
        <w:t>202</w:t>
      </w:r>
      <w:r>
        <w:rPr>
          <w:rFonts w:hint="eastAsia" w:ascii="宋体" w:hAnsi="宋体" w:cs="宋体"/>
          <w:color w:val="auto"/>
          <w:kern w:val="0"/>
          <w:sz w:val="24"/>
          <w:lang w:val="en-US" w:eastAsia="zh-CN"/>
        </w:rPr>
        <w:t>5</w:t>
      </w:r>
      <w:r>
        <w:rPr>
          <w:rFonts w:hint="eastAsia" w:ascii="宋体" w:hAnsi="宋体" w:cs="宋体"/>
          <w:color w:val="auto"/>
          <w:kern w:val="0"/>
          <w:sz w:val="24"/>
        </w:rPr>
        <w:t>年</w:t>
      </w:r>
      <w:r>
        <w:rPr>
          <w:rFonts w:hint="eastAsia" w:ascii="宋体" w:hAnsi="宋体" w:cs="宋体"/>
          <w:color w:val="auto"/>
          <w:kern w:val="0"/>
          <w:sz w:val="24"/>
          <w:lang w:val="en-US" w:eastAsia="zh-CN"/>
        </w:rPr>
        <w:t>乐清</w:t>
      </w:r>
      <w:r>
        <w:rPr>
          <w:rFonts w:hint="eastAsia" w:ascii="宋体" w:hAnsi="宋体" w:cs="宋体"/>
          <w:color w:val="auto"/>
          <w:kern w:val="0"/>
          <w:sz w:val="24"/>
        </w:rPr>
        <w:t>本地产</w:t>
      </w:r>
      <w:r>
        <w:rPr>
          <w:rFonts w:hint="eastAsia" w:ascii="宋体" w:hAnsi="宋体" w:cs="宋体"/>
          <w:color w:val="auto"/>
          <w:kern w:val="0"/>
          <w:sz w:val="24"/>
          <w:lang w:val="en-US" w:eastAsia="zh-CN"/>
        </w:rPr>
        <w:t>晚稻谷</w:t>
      </w:r>
      <w:r>
        <w:rPr>
          <w:rFonts w:hint="eastAsia" w:ascii="宋体" w:hAnsi="宋体" w:cs="宋体"/>
          <w:color w:val="auto"/>
          <w:kern w:val="0"/>
          <w:sz w:val="24"/>
        </w:rPr>
        <w:t>，质量要求符合国家标准（</w:t>
      </w:r>
      <w:r>
        <w:rPr>
          <w:rFonts w:ascii="宋体" w:hAnsi="宋体" w:cs="宋体"/>
          <w:color w:val="auto"/>
          <w:kern w:val="0"/>
          <w:sz w:val="24"/>
        </w:rPr>
        <w:t>GB</w:t>
      </w:r>
      <w:r>
        <w:rPr>
          <w:rFonts w:hint="eastAsia" w:ascii="宋体" w:hAnsi="宋体" w:cs="宋体"/>
          <w:color w:val="auto"/>
          <w:kern w:val="0"/>
          <w:sz w:val="24"/>
          <w:lang w:val="en-US" w:eastAsia="zh-CN"/>
        </w:rPr>
        <w:t xml:space="preserve"> </w:t>
      </w:r>
      <w:r>
        <w:rPr>
          <w:rFonts w:ascii="宋体" w:hAnsi="宋体" w:cs="宋体"/>
          <w:color w:val="auto"/>
          <w:kern w:val="0"/>
          <w:sz w:val="24"/>
        </w:rPr>
        <w:t>1350-2009</w:t>
      </w:r>
      <w:r>
        <w:rPr>
          <w:rFonts w:hint="eastAsia" w:ascii="宋体" w:hAnsi="宋体" w:cs="宋体"/>
          <w:color w:val="auto"/>
          <w:kern w:val="0"/>
          <w:sz w:val="24"/>
        </w:rPr>
        <w:t>）三等及以上，储存品质宜存，达到食品安全国家标准。</w:t>
      </w:r>
      <w:r>
        <w:rPr>
          <w:rFonts w:hint="eastAsia" w:ascii="宋体" w:hAnsi="宋体" w:cs="宋体"/>
          <w:color w:val="auto"/>
          <w:kern w:val="0"/>
          <w:sz w:val="24"/>
          <w:lang w:val="en-US" w:eastAsia="zh-CN"/>
        </w:rPr>
        <w:t>积极</w:t>
      </w:r>
      <w:r>
        <w:rPr>
          <w:rFonts w:hint="eastAsia" w:ascii="宋体" w:hAnsi="宋体" w:cs="宋体"/>
          <w:color w:val="auto"/>
          <w:kern w:val="0"/>
          <w:sz w:val="24"/>
        </w:rPr>
        <w:t>开展低温或准低温储存，实行“一年一轮换”</w:t>
      </w:r>
      <w:r>
        <w:rPr>
          <w:rFonts w:hint="eastAsia" w:ascii="宋体" w:hAnsi="宋体" w:cs="宋体"/>
          <w:color w:val="auto"/>
          <w:kern w:val="0"/>
          <w:sz w:val="24"/>
          <w:lang w:eastAsia="zh-CN"/>
        </w:rPr>
        <w:t>。</w:t>
      </w:r>
    </w:p>
    <w:p w14:paraId="26FD513F">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ascii="宋体" w:cs="宋体"/>
          <w:color w:val="auto"/>
          <w:kern w:val="0"/>
          <w:sz w:val="24"/>
        </w:rPr>
      </w:pPr>
      <w:r>
        <w:rPr>
          <w:rFonts w:ascii="宋体" w:hAnsi="宋体" w:cs="宋体"/>
          <w:color w:val="auto"/>
          <w:kern w:val="0"/>
          <w:sz w:val="24"/>
        </w:rPr>
        <w:t>2</w:t>
      </w:r>
      <w:r>
        <w:rPr>
          <w:rFonts w:hint="eastAsia" w:ascii="宋体" w:hAnsi="宋体" w:cs="宋体"/>
          <w:color w:val="auto"/>
          <w:kern w:val="0"/>
          <w:sz w:val="24"/>
        </w:rPr>
        <w:t>、委托方和竞得方共同负责生产主体的落实、收购时对</w:t>
      </w:r>
      <w:r>
        <w:rPr>
          <w:rFonts w:hint="eastAsia" w:ascii="宋体" w:hAnsi="宋体" w:cs="宋体"/>
          <w:color w:val="auto"/>
          <w:kern w:val="0"/>
          <w:sz w:val="24"/>
          <w:lang w:val="en-US" w:eastAsia="zh-CN"/>
        </w:rPr>
        <w:t>晚稻谷</w:t>
      </w:r>
      <w:r>
        <w:rPr>
          <w:rFonts w:hint="eastAsia" w:ascii="宋体" w:hAnsi="宋体" w:cs="宋体"/>
          <w:color w:val="auto"/>
          <w:kern w:val="0"/>
          <w:sz w:val="24"/>
        </w:rPr>
        <w:t>订单粮入库质量把关，同时做好包干销售工作。</w:t>
      </w:r>
    </w:p>
    <w:p w14:paraId="2E79340E">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ascii="宋体" w:cs="宋体"/>
          <w:color w:val="auto"/>
          <w:kern w:val="0"/>
          <w:sz w:val="24"/>
        </w:rPr>
      </w:pPr>
      <w:r>
        <w:rPr>
          <w:rFonts w:ascii="宋体" w:hAnsi="宋体" w:cs="宋体"/>
          <w:color w:val="auto"/>
          <w:kern w:val="0"/>
          <w:sz w:val="24"/>
        </w:rPr>
        <w:t>3</w:t>
      </w:r>
      <w:r>
        <w:rPr>
          <w:rFonts w:hint="eastAsia" w:ascii="宋体" w:hAnsi="宋体" w:cs="宋体"/>
          <w:color w:val="auto"/>
          <w:kern w:val="0"/>
          <w:sz w:val="24"/>
        </w:rPr>
        <w:t>、委托方负责晚稻</w:t>
      </w:r>
      <w:r>
        <w:rPr>
          <w:rFonts w:hint="eastAsia" w:ascii="宋体" w:hAnsi="宋体" w:cs="宋体"/>
          <w:color w:val="auto"/>
          <w:kern w:val="0"/>
          <w:sz w:val="24"/>
          <w:lang w:val="en-US" w:eastAsia="zh-CN"/>
        </w:rPr>
        <w:t>谷</w:t>
      </w:r>
      <w:r>
        <w:rPr>
          <w:rFonts w:hint="eastAsia" w:ascii="宋体" w:hAnsi="宋体" w:cs="宋体"/>
          <w:color w:val="auto"/>
          <w:kern w:val="0"/>
          <w:sz w:val="24"/>
        </w:rPr>
        <w:t>订单粮收购合同的签订、组织收购、货款结算、质量检测、数据统计、储存保管等工作，并对储存的</w:t>
      </w:r>
      <w:r>
        <w:rPr>
          <w:rFonts w:hint="eastAsia" w:ascii="宋体" w:hAnsi="宋体" w:cs="宋体"/>
          <w:color w:val="auto"/>
          <w:kern w:val="0"/>
          <w:sz w:val="24"/>
          <w:lang w:eastAsia="zh-CN"/>
        </w:rPr>
        <w:t>晚稻谷</w:t>
      </w:r>
      <w:r>
        <w:rPr>
          <w:rFonts w:hint="eastAsia" w:ascii="宋体" w:hAnsi="宋体" w:cs="宋体"/>
          <w:color w:val="auto"/>
          <w:kern w:val="0"/>
          <w:sz w:val="24"/>
        </w:rPr>
        <w:t>订单粮数量、质量及储存安全负责。</w:t>
      </w:r>
    </w:p>
    <w:p w14:paraId="77244705">
      <w:pPr>
        <w:keepNext w:val="0"/>
        <w:keepLines w:val="0"/>
        <w:pageBreakBefore w:val="0"/>
        <w:widowControl/>
        <w:kinsoku/>
        <w:wordWrap/>
        <w:overflowPunct/>
        <w:topLinePunct w:val="0"/>
        <w:autoSpaceDE/>
        <w:autoSpaceDN/>
        <w:bidi w:val="0"/>
        <w:adjustRightInd/>
        <w:snapToGrid/>
        <w:spacing w:line="380" w:lineRule="atLeast"/>
        <w:jc w:val="left"/>
        <w:textAlignment w:val="auto"/>
        <w:rPr>
          <w:rFonts w:ascii="宋体" w:cs="宋体"/>
          <w:color w:val="auto"/>
          <w:kern w:val="0"/>
          <w:sz w:val="24"/>
        </w:rPr>
      </w:pPr>
      <w:r>
        <w:rPr>
          <w:rFonts w:hint="eastAsia" w:ascii="宋体" w:hAnsi="宋体" w:cs="宋体"/>
          <w:color w:val="auto"/>
          <w:kern w:val="0"/>
          <w:sz w:val="24"/>
        </w:rPr>
        <w:t>（二）基本要求</w:t>
      </w:r>
    </w:p>
    <w:p w14:paraId="07425652">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ascii="宋体" w:cs="宋体"/>
          <w:color w:val="auto"/>
          <w:kern w:val="0"/>
          <w:sz w:val="24"/>
        </w:rPr>
      </w:pPr>
      <w:r>
        <w:rPr>
          <w:rFonts w:hint="eastAsia" w:ascii="宋体" w:hAnsi="宋体" w:cs="宋体"/>
          <w:color w:val="auto"/>
          <w:kern w:val="0"/>
          <w:sz w:val="24"/>
        </w:rPr>
        <w:t>委托方对</w:t>
      </w:r>
      <w:r>
        <w:rPr>
          <w:rFonts w:hint="eastAsia" w:ascii="宋体" w:hAnsi="宋体" w:cs="宋体"/>
          <w:color w:val="auto"/>
          <w:kern w:val="0"/>
          <w:sz w:val="24"/>
          <w:lang w:val="en-US" w:eastAsia="zh-CN"/>
        </w:rPr>
        <w:t>晚稻谷</w:t>
      </w:r>
      <w:r>
        <w:rPr>
          <w:rFonts w:hint="eastAsia" w:ascii="宋体" w:hAnsi="宋体" w:cs="宋体"/>
          <w:color w:val="auto"/>
          <w:kern w:val="0"/>
          <w:sz w:val="24"/>
        </w:rPr>
        <w:t>订单粮（以下简称：订单粮）在品种、数量、生产主体、种植期间品种、种植面积等情况的现场核查、收购入库、鉴定保管、销售出库等方面明确如下：</w:t>
      </w:r>
    </w:p>
    <w:p w14:paraId="411284C2">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ascii="宋体" w:cs="宋体"/>
          <w:color w:val="auto"/>
          <w:kern w:val="0"/>
          <w:sz w:val="24"/>
        </w:rPr>
      </w:pPr>
      <w:r>
        <w:rPr>
          <w:rFonts w:ascii="宋体" w:hAnsi="宋体" w:cs="宋体"/>
          <w:color w:val="auto"/>
          <w:kern w:val="0"/>
          <w:sz w:val="24"/>
        </w:rPr>
        <w:t>1</w:t>
      </w:r>
      <w:r>
        <w:rPr>
          <w:rFonts w:hint="eastAsia" w:ascii="宋体" w:hAnsi="宋体" w:cs="宋体"/>
          <w:color w:val="auto"/>
          <w:kern w:val="0"/>
          <w:sz w:val="24"/>
        </w:rPr>
        <w:t>、订单粮品种及数量</w:t>
      </w:r>
    </w:p>
    <w:p w14:paraId="5AF54A2F">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hint="eastAsia" w:ascii="宋体" w:eastAsia="宋体" w:cs="宋体"/>
          <w:color w:val="auto"/>
          <w:kern w:val="0"/>
          <w:sz w:val="24"/>
          <w:lang w:eastAsia="zh-CN"/>
        </w:rPr>
      </w:pPr>
      <w:r>
        <w:rPr>
          <w:rFonts w:hint="eastAsia" w:ascii="宋体" w:hAnsi="宋体" w:cs="宋体"/>
          <w:color w:val="auto"/>
          <w:kern w:val="0"/>
          <w:sz w:val="24"/>
        </w:rPr>
        <w:t>订单粮优质品种</w:t>
      </w:r>
      <w:r>
        <w:rPr>
          <w:rFonts w:hint="eastAsia" w:ascii="宋体" w:hAnsi="宋体" w:cs="宋体"/>
          <w:color w:val="auto"/>
          <w:kern w:val="0"/>
          <w:sz w:val="24"/>
          <w:lang w:eastAsia="zh-CN"/>
        </w:rPr>
        <w:t>：</w:t>
      </w:r>
      <w:r>
        <w:rPr>
          <w:rFonts w:hint="eastAsia" w:ascii="宋体" w:hAnsi="宋体" w:cs="宋体"/>
          <w:b/>
          <w:bCs/>
          <w:color w:val="auto"/>
          <w:kern w:val="0"/>
          <w:sz w:val="24"/>
          <w:u w:val="single"/>
          <w:lang w:val="en-US" w:eastAsia="zh-CN"/>
        </w:rPr>
        <w:t>晚稻谷</w:t>
      </w:r>
      <w:r>
        <w:rPr>
          <w:rFonts w:hint="eastAsia" w:ascii="宋体" w:hAnsi="宋体" w:cs="宋体"/>
          <w:color w:val="auto"/>
          <w:kern w:val="0"/>
          <w:sz w:val="24"/>
        </w:rPr>
        <w:t>订单数量</w:t>
      </w:r>
      <w:r>
        <w:rPr>
          <w:rFonts w:hint="eastAsia" w:ascii="宋体" w:hAnsi="宋体" w:cs="宋体"/>
          <w:b/>
          <w:bCs/>
          <w:color w:val="auto"/>
          <w:kern w:val="0"/>
          <w:sz w:val="24"/>
          <w:u w:val="single"/>
          <w:lang w:val="en-US" w:eastAsia="zh-CN"/>
        </w:rPr>
        <w:t>7000</w:t>
      </w:r>
      <w:r>
        <w:rPr>
          <w:rFonts w:hint="eastAsia" w:ascii="宋体" w:hAnsi="宋体" w:cs="宋体"/>
          <w:color w:val="auto"/>
          <w:kern w:val="0"/>
          <w:sz w:val="24"/>
        </w:rPr>
        <w:t>吨</w:t>
      </w:r>
      <w:r>
        <w:rPr>
          <w:rFonts w:hint="eastAsia" w:ascii="宋体" w:hAnsi="宋体" w:cs="宋体"/>
          <w:color w:val="auto"/>
          <w:kern w:val="0"/>
          <w:sz w:val="24"/>
          <w:lang w:eastAsia="zh-CN"/>
        </w:rPr>
        <w:t>，</w:t>
      </w:r>
      <w:r>
        <w:rPr>
          <w:rFonts w:hint="eastAsia" w:ascii="宋体" w:hAnsi="宋体" w:cs="宋体"/>
          <w:color w:val="auto"/>
          <w:kern w:val="0"/>
          <w:sz w:val="24"/>
          <w:lang w:val="en-US" w:eastAsia="zh-CN"/>
        </w:rPr>
        <w:t>其竞得段一</w:t>
      </w:r>
      <w:r>
        <w:rPr>
          <w:rFonts w:hint="eastAsia" w:ascii="宋体" w:hAnsi="宋体" w:cs="宋体"/>
          <w:color w:val="auto"/>
          <w:kern w:val="0"/>
          <w:sz w:val="24"/>
          <w:lang w:eastAsia="zh-CN"/>
        </w:rPr>
        <w:t>竞得方</w:t>
      </w:r>
      <w:r>
        <w:rPr>
          <w:rFonts w:hint="eastAsia" w:ascii="宋体" w:hAnsi="宋体" w:cs="宋体"/>
          <w:color w:val="auto"/>
          <w:kern w:val="0"/>
          <w:sz w:val="24"/>
        </w:rPr>
        <w:t>承担</w:t>
      </w:r>
      <w:r>
        <w:rPr>
          <w:rFonts w:hint="eastAsia" w:ascii="宋体" w:hAnsi="宋体" w:cs="宋体"/>
          <w:color w:val="auto"/>
          <w:kern w:val="0"/>
          <w:sz w:val="24"/>
          <w:lang w:val="en-US" w:eastAsia="zh-CN"/>
        </w:rPr>
        <w:t>410</w:t>
      </w:r>
      <w:r>
        <w:rPr>
          <w:rFonts w:hint="eastAsia" w:ascii="宋体" w:hAnsi="宋体" w:cs="宋体"/>
          <w:color w:val="auto"/>
          <w:kern w:val="0"/>
          <w:sz w:val="24"/>
        </w:rPr>
        <w:t>0吨粮食试点任务，承担</w:t>
      </w:r>
      <w:r>
        <w:rPr>
          <w:rFonts w:hint="eastAsia" w:ascii="宋体" w:hAnsi="宋体" w:cs="宋体"/>
          <w:color w:val="auto"/>
          <w:kern w:val="0"/>
          <w:sz w:val="24"/>
          <w:lang w:val="en-US" w:eastAsia="zh-CN"/>
        </w:rPr>
        <w:t>2870</w:t>
      </w:r>
      <w:r>
        <w:rPr>
          <w:rFonts w:hint="eastAsia" w:ascii="宋体" w:hAnsi="宋体" w:cs="宋体"/>
          <w:color w:val="auto"/>
          <w:kern w:val="0"/>
          <w:sz w:val="24"/>
        </w:rPr>
        <w:t>吨市场主体运营</w:t>
      </w:r>
      <w:r>
        <w:rPr>
          <w:rFonts w:hint="eastAsia" w:ascii="宋体" w:hAnsi="宋体" w:cs="宋体"/>
          <w:color w:val="auto"/>
          <w:kern w:val="0"/>
          <w:sz w:val="24"/>
          <w:lang w:eastAsia="zh-CN"/>
        </w:rPr>
        <w:t>，</w:t>
      </w:r>
      <w:r>
        <w:rPr>
          <w:rFonts w:hint="eastAsia" w:ascii="宋体" w:hAnsi="宋体" w:cs="宋体"/>
          <w:color w:val="auto"/>
          <w:kern w:val="0"/>
          <w:sz w:val="24"/>
          <w:lang w:val="en-US" w:eastAsia="zh-CN"/>
        </w:rPr>
        <w:t>标段一</w:t>
      </w:r>
      <w:r>
        <w:rPr>
          <w:rFonts w:hint="eastAsia" w:ascii="宋体" w:hAnsi="宋体" w:cs="宋体"/>
          <w:color w:val="auto"/>
          <w:kern w:val="0"/>
          <w:sz w:val="24"/>
        </w:rPr>
        <w:t>优质晚稻种植所需的晚稻种子采用甬优1</w:t>
      </w:r>
      <w:r>
        <w:rPr>
          <w:rFonts w:hint="eastAsia" w:ascii="宋体" w:hAnsi="宋体" w:cs="宋体"/>
          <w:color w:val="auto"/>
          <w:kern w:val="0"/>
          <w:sz w:val="24"/>
          <w:lang w:val="en-US" w:eastAsia="zh-CN"/>
        </w:rPr>
        <w:t>5号</w:t>
      </w:r>
      <w:r>
        <w:rPr>
          <w:rFonts w:hint="eastAsia" w:ascii="宋体" w:hAnsi="宋体" w:cs="宋体"/>
          <w:color w:val="auto"/>
          <w:kern w:val="0"/>
          <w:sz w:val="24"/>
        </w:rPr>
        <w:t>；标段二</w:t>
      </w:r>
      <w:r>
        <w:rPr>
          <w:rFonts w:hint="eastAsia" w:ascii="宋体" w:hAnsi="宋体" w:cs="宋体"/>
          <w:color w:val="auto"/>
          <w:kern w:val="0"/>
          <w:sz w:val="24"/>
          <w:lang w:val="en-US" w:eastAsia="zh-CN"/>
        </w:rPr>
        <w:t>竞得方</w:t>
      </w:r>
      <w:r>
        <w:rPr>
          <w:rFonts w:hint="eastAsia" w:ascii="宋体" w:hAnsi="宋体" w:cs="宋体"/>
          <w:color w:val="auto"/>
          <w:kern w:val="0"/>
          <w:sz w:val="24"/>
        </w:rPr>
        <w:t>单位承担</w:t>
      </w:r>
      <w:r>
        <w:rPr>
          <w:rFonts w:hint="eastAsia" w:ascii="宋体" w:hAnsi="宋体" w:cs="宋体"/>
          <w:color w:val="auto"/>
          <w:kern w:val="0"/>
          <w:sz w:val="24"/>
          <w:lang w:val="en-US" w:eastAsia="zh-CN"/>
        </w:rPr>
        <w:t>1800</w:t>
      </w:r>
      <w:r>
        <w:rPr>
          <w:rFonts w:hint="eastAsia" w:ascii="宋体" w:hAnsi="宋体" w:cs="宋体"/>
          <w:color w:val="auto"/>
          <w:kern w:val="0"/>
          <w:sz w:val="24"/>
        </w:rPr>
        <w:t>吨粮食试点任务，承担</w:t>
      </w:r>
      <w:r>
        <w:rPr>
          <w:rFonts w:hint="eastAsia" w:ascii="宋体" w:hAnsi="宋体" w:cs="宋体"/>
          <w:color w:val="auto"/>
          <w:kern w:val="0"/>
          <w:sz w:val="24"/>
          <w:lang w:val="en-US" w:eastAsia="zh-CN"/>
        </w:rPr>
        <w:t>1260</w:t>
      </w:r>
      <w:r>
        <w:rPr>
          <w:rFonts w:hint="eastAsia" w:ascii="宋体" w:hAnsi="宋体" w:cs="宋体"/>
          <w:color w:val="auto"/>
          <w:kern w:val="0"/>
          <w:sz w:val="24"/>
        </w:rPr>
        <w:t>吨市场主体运营</w:t>
      </w:r>
      <w:r>
        <w:rPr>
          <w:rFonts w:hint="eastAsia" w:ascii="宋体" w:hAnsi="宋体" w:cs="宋体"/>
          <w:color w:val="auto"/>
          <w:kern w:val="0"/>
          <w:sz w:val="24"/>
          <w:lang w:eastAsia="zh-CN"/>
        </w:rPr>
        <w:t>，</w:t>
      </w:r>
      <w:r>
        <w:rPr>
          <w:rFonts w:hint="eastAsia" w:ascii="宋体" w:hAnsi="宋体" w:cs="宋体"/>
          <w:color w:val="auto"/>
          <w:kern w:val="0"/>
          <w:sz w:val="24"/>
          <w:lang w:val="en-US" w:eastAsia="zh-CN"/>
        </w:rPr>
        <w:t>标段二</w:t>
      </w:r>
      <w:r>
        <w:rPr>
          <w:rFonts w:hint="eastAsia" w:ascii="宋体" w:hAnsi="宋体" w:cs="宋体"/>
          <w:color w:val="auto"/>
          <w:kern w:val="0"/>
          <w:sz w:val="24"/>
        </w:rPr>
        <w:t>优质晚稻种植所需的晚稻种子采用嘉科优11号</w:t>
      </w:r>
      <w:r>
        <w:rPr>
          <w:rFonts w:hint="eastAsia" w:ascii="宋体" w:hAnsi="宋体" w:cs="宋体"/>
          <w:color w:val="auto"/>
          <w:kern w:val="0"/>
          <w:sz w:val="24"/>
          <w:lang w:eastAsia="zh-CN"/>
        </w:rPr>
        <w:t>；</w:t>
      </w:r>
      <w:r>
        <w:rPr>
          <w:rFonts w:hint="eastAsia" w:ascii="宋体" w:hAnsi="宋体" w:cs="宋体"/>
          <w:color w:val="auto"/>
          <w:kern w:val="0"/>
          <w:sz w:val="24"/>
        </w:rPr>
        <w:t>标段</w:t>
      </w:r>
      <w:r>
        <w:rPr>
          <w:rFonts w:hint="eastAsia" w:ascii="宋体" w:hAnsi="宋体" w:cs="宋体"/>
          <w:color w:val="auto"/>
          <w:kern w:val="0"/>
          <w:sz w:val="24"/>
          <w:lang w:val="en-US" w:eastAsia="zh-CN"/>
        </w:rPr>
        <w:t>三竞得方</w:t>
      </w:r>
      <w:r>
        <w:rPr>
          <w:rFonts w:hint="eastAsia" w:ascii="宋体" w:hAnsi="宋体" w:cs="宋体"/>
          <w:color w:val="auto"/>
          <w:kern w:val="0"/>
          <w:sz w:val="24"/>
        </w:rPr>
        <w:t>承担</w:t>
      </w:r>
      <w:r>
        <w:rPr>
          <w:rFonts w:hint="eastAsia" w:ascii="宋体" w:hAnsi="宋体" w:cs="宋体"/>
          <w:color w:val="auto"/>
          <w:kern w:val="0"/>
          <w:sz w:val="24"/>
          <w:lang w:val="en-US" w:eastAsia="zh-CN"/>
        </w:rPr>
        <w:t>1100</w:t>
      </w:r>
      <w:r>
        <w:rPr>
          <w:rFonts w:hint="eastAsia" w:ascii="宋体" w:hAnsi="宋体" w:cs="宋体"/>
          <w:color w:val="auto"/>
          <w:kern w:val="0"/>
          <w:sz w:val="24"/>
        </w:rPr>
        <w:t>吨粮食试点任务，承担</w:t>
      </w:r>
      <w:r>
        <w:rPr>
          <w:rFonts w:hint="eastAsia" w:ascii="宋体" w:hAnsi="宋体" w:cs="宋体"/>
          <w:color w:val="auto"/>
          <w:kern w:val="0"/>
          <w:sz w:val="24"/>
          <w:lang w:val="en-US" w:eastAsia="zh-CN"/>
        </w:rPr>
        <w:t>770</w:t>
      </w:r>
      <w:r>
        <w:rPr>
          <w:rFonts w:hint="eastAsia" w:ascii="宋体" w:hAnsi="宋体" w:cs="宋体"/>
          <w:color w:val="auto"/>
          <w:kern w:val="0"/>
          <w:sz w:val="24"/>
        </w:rPr>
        <w:t>吨市场主体运营</w:t>
      </w:r>
      <w:r>
        <w:rPr>
          <w:rFonts w:hint="eastAsia" w:ascii="宋体" w:hAnsi="宋体" w:cs="宋体"/>
          <w:color w:val="auto"/>
          <w:kern w:val="0"/>
          <w:sz w:val="24"/>
          <w:lang w:eastAsia="zh-CN"/>
        </w:rPr>
        <w:t>，</w:t>
      </w:r>
      <w:r>
        <w:rPr>
          <w:rFonts w:hint="eastAsia" w:ascii="宋体" w:hAnsi="宋体" w:cs="宋体"/>
          <w:color w:val="auto"/>
          <w:kern w:val="0"/>
          <w:sz w:val="24"/>
          <w:lang w:val="en-US" w:eastAsia="zh-CN"/>
        </w:rPr>
        <w:t>标段三</w:t>
      </w:r>
      <w:r>
        <w:rPr>
          <w:rFonts w:hint="eastAsia" w:ascii="宋体" w:hAnsi="宋体" w:cs="宋体"/>
          <w:color w:val="auto"/>
          <w:kern w:val="0"/>
          <w:sz w:val="24"/>
        </w:rPr>
        <w:t>优质晚稻种植所需的晚稻种子采用嘉丰优2号</w:t>
      </w:r>
      <w:r>
        <w:rPr>
          <w:rFonts w:hint="eastAsia" w:ascii="宋体" w:hAnsi="宋体" w:cs="宋体"/>
          <w:b/>
          <w:bCs/>
          <w:color w:val="auto"/>
          <w:kern w:val="0"/>
          <w:sz w:val="24"/>
          <w:lang w:eastAsia="zh-CN"/>
        </w:rPr>
        <w:t>。</w:t>
      </w:r>
    </w:p>
    <w:p w14:paraId="0BEB82CD">
      <w:pPr>
        <w:keepNext w:val="0"/>
        <w:keepLines w:val="0"/>
        <w:pageBreakBefore w:val="0"/>
        <w:widowControl/>
        <w:numPr>
          <w:ilvl w:val="0"/>
          <w:numId w:val="2"/>
        </w:numPr>
        <w:kinsoku/>
        <w:wordWrap/>
        <w:overflowPunct/>
        <w:topLinePunct w:val="0"/>
        <w:autoSpaceDE/>
        <w:autoSpaceDN/>
        <w:bidi w:val="0"/>
        <w:adjustRightInd/>
        <w:snapToGrid/>
        <w:spacing w:line="380" w:lineRule="atLeast"/>
        <w:ind w:firstLine="360" w:firstLineChars="150"/>
        <w:jc w:val="left"/>
        <w:textAlignment w:val="auto"/>
        <w:rPr>
          <w:rFonts w:hint="eastAsia" w:ascii="宋体" w:hAnsi="宋体" w:cs="宋体"/>
          <w:color w:val="auto"/>
          <w:kern w:val="0"/>
          <w:sz w:val="24"/>
        </w:rPr>
      </w:pPr>
      <w:r>
        <w:rPr>
          <w:rFonts w:hint="eastAsia" w:ascii="宋体" w:hAnsi="宋体" w:cs="宋体"/>
          <w:color w:val="auto"/>
          <w:kern w:val="0"/>
          <w:sz w:val="24"/>
        </w:rPr>
        <w:t>订单粮生产主体</w:t>
      </w:r>
    </w:p>
    <w:p w14:paraId="343EB3C8">
      <w:pPr>
        <w:keepNext w:val="0"/>
        <w:keepLines w:val="0"/>
        <w:pageBreakBefore w:val="0"/>
        <w:widowControl/>
        <w:kinsoku/>
        <w:wordWrap/>
        <w:overflowPunct/>
        <w:topLinePunct w:val="0"/>
        <w:autoSpaceDE/>
        <w:autoSpaceDN/>
        <w:bidi w:val="0"/>
        <w:adjustRightInd/>
        <w:snapToGrid/>
        <w:spacing w:line="380" w:lineRule="atLeast"/>
        <w:ind w:firstLine="480" w:firstLineChars="200"/>
        <w:jc w:val="left"/>
        <w:textAlignment w:val="auto"/>
        <w:rPr>
          <w:rFonts w:hint="eastAsia" w:ascii="宋体" w:hAnsi="宋体" w:cs="宋体"/>
          <w:color w:val="auto"/>
          <w:kern w:val="0"/>
          <w:sz w:val="24"/>
          <w:lang w:eastAsia="zh-CN"/>
        </w:rPr>
      </w:pPr>
      <w:r>
        <w:rPr>
          <w:rFonts w:hint="eastAsia" w:ascii="宋体" w:hAnsi="宋体" w:cs="宋体"/>
          <w:color w:val="auto"/>
          <w:kern w:val="0"/>
          <w:sz w:val="24"/>
          <w:lang w:eastAsia="zh-CN"/>
        </w:rPr>
        <w:t>（</w:t>
      </w:r>
      <w:r>
        <w:rPr>
          <w:rFonts w:hint="eastAsia" w:ascii="宋体" w:hAnsi="宋体" w:cs="宋体"/>
          <w:color w:val="auto"/>
          <w:kern w:val="0"/>
          <w:sz w:val="24"/>
          <w:lang w:val="en-US" w:eastAsia="zh-CN"/>
        </w:rPr>
        <w:t>1</w:t>
      </w:r>
      <w:r>
        <w:rPr>
          <w:rFonts w:hint="eastAsia" w:ascii="宋体" w:hAnsi="宋体" w:cs="宋体"/>
          <w:color w:val="auto"/>
          <w:kern w:val="0"/>
          <w:sz w:val="24"/>
          <w:lang w:eastAsia="zh-CN"/>
        </w:rPr>
        <w:t>）</w:t>
      </w:r>
      <w:r>
        <w:rPr>
          <w:rFonts w:hint="eastAsia" w:ascii="宋体" w:hAnsi="宋体" w:cs="宋体"/>
          <w:color w:val="auto"/>
          <w:kern w:val="0"/>
          <w:sz w:val="24"/>
        </w:rPr>
        <w:t>订单粮生产主体必须为</w:t>
      </w:r>
      <w:r>
        <w:rPr>
          <w:rFonts w:hint="eastAsia" w:ascii="宋体" w:hAnsi="宋体" w:cs="宋体"/>
          <w:color w:val="auto"/>
          <w:kern w:val="0"/>
          <w:sz w:val="24"/>
          <w:lang w:val="en-US" w:eastAsia="zh-CN"/>
        </w:rPr>
        <w:t>乐清</w:t>
      </w:r>
      <w:r>
        <w:rPr>
          <w:rFonts w:hint="eastAsia" w:ascii="宋体" w:hAnsi="宋体" w:cs="宋体"/>
          <w:color w:val="auto"/>
          <w:kern w:val="0"/>
          <w:sz w:val="24"/>
        </w:rPr>
        <w:t>范围内的规模粮食种植主体，按照省六部门《浙江省政策性粮食收购工作规范（试行）》（浙粮〔2022〕21 号）规定，粮食物资部门应制定订单分配原则，并督导粮食收储公司执行，不得由</w:t>
      </w:r>
      <w:r>
        <w:rPr>
          <w:rFonts w:hint="eastAsia" w:ascii="宋体" w:hAnsi="宋体" w:cs="宋体"/>
          <w:color w:val="auto"/>
          <w:kern w:val="0"/>
          <w:sz w:val="24"/>
          <w:lang w:eastAsia="zh-CN"/>
        </w:rPr>
        <w:t>竞得</w:t>
      </w:r>
      <w:r>
        <w:rPr>
          <w:rFonts w:hint="eastAsia" w:ascii="宋体" w:hAnsi="宋体" w:cs="宋体"/>
          <w:color w:val="auto"/>
          <w:kern w:val="0"/>
          <w:sz w:val="24"/>
        </w:rPr>
        <w:t>实施主体自行分配订单。</w:t>
      </w:r>
    </w:p>
    <w:p w14:paraId="1B08E0FD">
      <w:pPr>
        <w:keepNext w:val="0"/>
        <w:keepLines w:val="0"/>
        <w:pageBreakBefore w:val="0"/>
        <w:widowControl/>
        <w:numPr>
          <w:ilvl w:val="0"/>
          <w:numId w:val="0"/>
        </w:numPr>
        <w:kinsoku/>
        <w:wordWrap/>
        <w:overflowPunct/>
        <w:topLinePunct w:val="0"/>
        <w:autoSpaceDE/>
        <w:autoSpaceDN/>
        <w:bidi w:val="0"/>
        <w:adjustRightInd/>
        <w:snapToGrid/>
        <w:spacing w:line="380" w:lineRule="atLeast"/>
        <w:ind w:firstLine="420" w:firstLineChars="0"/>
        <w:jc w:val="left"/>
        <w:textAlignment w:val="auto"/>
        <w:rPr>
          <w:rFonts w:hint="eastAsia" w:ascii="宋体" w:hAnsi="宋体" w:cs="宋体"/>
          <w:color w:val="auto"/>
          <w:kern w:val="0"/>
          <w:sz w:val="24"/>
        </w:rPr>
      </w:pPr>
      <w:r>
        <w:rPr>
          <w:rFonts w:hint="eastAsia" w:ascii="宋体" w:hAnsi="宋体" w:cs="宋体"/>
          <w:color w:val="auto"/>
          <w:kern w:val="0"/>
          <w:sz w:val="24"/>
        </w:rPr>
        <w:t>（</w:t>
      </w:r>
      <w:r>
        <w:rPr>
          <w:rFonts w:ascii="宋体" w:hAnsi="宋体" w:cs="宋体"/>
          <w:color w:val="auto"/>
          <w:kern w:val="0"/>
          <w:sz w:val="24"/>
        </w:rPr>
        <w:t>2</w:t>
      </w:r>
      <w:r>
        <w:rPr>
          <w:rFonts w:hint="eastAsia" w:ascii="宋体" w:hAnsi="宋体" w:cs="宋体"/>
          <w:color w:val="auto"/>
          <w:kern w:val="0"/>
          <w:sz w:val="24"/>
        </w:rPr>
        <w:t>）根据生产主体分户清册和核实后的种植面积，由委托方按</w:t>
      </w:r>
      <w:r>
        <w:rPr>
          <w:rFonts w:ascii="宋体" w:hAnsi="宋体" w:cs="宋体"/>
          <w:color w:val="auto"/>
          <w:kern w:val="0"/>
          <w:sz w:val="24"/>
        </w:rPr>
        <w:t>202</w:t>
      </w:r>
      <w:r>
        <w:rPr>
          <w:rFonts w:hint="eastAsia" w:ascii="宋体" w:hAnsi="宋体" w:cs="宋体"/>
          <w:color w:val="auto"/>
          <w:kern w:val="0"/>
          <w:sz w:val="24"/>
          <w:lang w:val="en-US" w:eastAsia="zh-CN"/>
        </w:rPr>
        <w:t>5</w:t>
      </w:r>
      <w:r>
        <w:rPr>
          <w:rFonts w:hint="eastAsia" w:ascii="宋体" w:hAnsi="宋体" w:cs="宋体"/>
          <w:color w:val="auto"/>
          <w:kern w:val="0"/>
          <w:sz w:val="24"/>
        </w:rPr>
        <w:t>年</w:t>
      </w:r>
      <w:r>
        <w:rPr>
          <w:rFonts w:hint="eastAsia" w:ascii="宋体" w:hAnsi="宋体" w:cs="宋体"/>
          <w:color w:val="auto"/>
          <w:kern w:val="0"/>
          <w:sz w:val="24"/>
          <w:lang w:val="en-US" w:eastAsia="zh-CN"/>
        </w:rPr>
        <w:t>乐清市</w:t>
      </w:r>
      <w:r>
        <w:rPr>
          <w:rFonts w:hint="eastAsia" w:ascii="宋体" w:hAnsi="宋体" w:cs="宋体"/>
          <w:color w:val="auto"/>
          <w:kern w:val="0"/>
          <w:sz w:val="24"/>
        </w:rPr>
        <w:t>政府订单粮签订政策，测算各种植主体亩均订单量后签粮食订单合同，并制定《优质</w:t>
      </w:r>
      <w:r>
        <w:rPr>
          <w:rFonts w:hint="eastAsia" w:ascii="宋体" w:hAnsi="宋体" w:cs="宋体"/>
          <w:color w:val="auto"/>
          <w:kern w:val="0"/>
          <w:sz w:val="24"/>
          <w:lang w:val="en-US" w:eastAsia="zh-CN"/>
        </w:rPr>
        <w:t>晚稻谷</w:t>
      </w:r>
      <w:r>
        <w:rPr>
          <w:rFonts w:hint="eastAsia" w:ascii="宋体" w:hAnsi="宋体" w:cs="宋体"/>
          <w:color w:val="auto"/>
          <w:kern w:val="0"/>
          <w:sz w:val="24"/>
        </w:rPr>
        <w:t>订单分户清册》，经公示无任何异议后，最终确定订单主体名单和各订单主体订单数量。</w:t>
      </w:r>
    </w:p>
    <w:p w14:paraId="77CF2629">
      <w:pPr>
        <w:keepNext w:val="0"/>
        <w:keepLines w:val="0"/>
        <w:pageBreakBefore w:val="0"/>
        <w:widowControl/>
        <w:kinsoku/>
        <w:wordWrap/>
        <w:overflowPunct/>
        <w:topLinePunct w:val="0"/>
        <w:autoSpaceDE/>
        <w:autoSpaceDN/>
        <w:bidi w:val="0"/>
        <w:adjustRightInd/>
        <w:snapToGrid/>
        <w:spacing w:line="380" w:lineRule="atLeast"/>
        <w:ind w:firstLine="480" w:firstLineChars="200"/>
        <w:jc w:val="left"/>
        <w:textAlignment w:val="auto"/>
        <w:rPr>
          <w:rFonts w:hint="eastAsia" w:ascii="宋体" w:hAnsi="宋体" w:cs="宋体"/>
          <w:color w:val="auto"/>
          <w:kern w:val="0"/>
          <w:sz w:val="24"/>
          <w:lang w:val="en-US" w:eastAsia="zh-CN"/>
        </w:rPr>
      </w:pPr>
      <w:r>
        <w:rPr>
          <w:rFonts w:hint="eastAsia" w:ascii="宋体" w:hAnsi="宋体" w:cs="宋体"/>
          <w:color w:val="auto"/>
          <w:kern w:val="0"/>
          <w:sz w:val="24"/>
        </w:rPr>
        <w:t>（3）因特殊原因，如最终确定的订单数量不足</w:t>
      </w:r>
      <w:r>
        <w:rPr>
          <w:rFonts w:hint="eastAsia" w:ascii="宋体" w:hAnsi="宋体" w:cs="宋体"/>
          <w:color w:val="auto"/>
          <w:kern w:val="0"/>
          <w:sz w:val="24"/>
          <w:lang w:val="en-US" w:eastAsia="zh-CN"/>
        </w:rPr>
        <w:t>7000</w:t>
      </w:r>
      <w:r>
        <w:rPr>
          <w:rFonts w:hint="eastAsia" w:ascii="宋体" w:hAnsi="宋体" w:cs="宋体"/>
          <w:color w:val="auto"/>
          <w:kern w:val="0"/>
          <w:sz w:val="24"/>
        </w:rPr>
        <w:t>吨，委托方将不承担任何责任。</w:t>
      </w:r>
    </w:p>
    <w:p w14:paraId="117C6649">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hint="default" w:ascii="宋体" w:hAnsi="宋体" w:cs="宋体"/>
          <w:color w:val="auto"/>
          <w:kern w:val="0"/>
          <w:sz w:val="24"/>
          <w:lang w:val="en-US" w:eastAsia="zh-CN"/>
        </w:rPr>
      </w:pPr>
      <w:r>
        <w:rPr>
          <w:rFonts w:hint="eastAsia" w:ascii="宋体" w:hAnsi="宋体" w:cs="宋体"/>
          <w:color w:val="auto"/>
          <w:kern w:val="0"/>
          <w:sz w:val="24"/>
          <w:lang w:val="en-US" w:eastAsia="zh-CN"/>
        </w:rPr>
        <w:t>3、订单粮收购入库</w:t>
      </w:r>
    </w:p>
    <w:p w14:paraId="49AB1DD4">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hint="eastAsia" w:ascii="宋体" w:hAnsi="宋体" w:cs="宋体"/>
          <w:color w:val="auto"/>
          <w:kern w:val="0"/>
          <w:sz w:val="24"/>
          <w:lang w:val="en-US" w:eastAsia="zh-CN"/>
        </w:rPr>
      </w:pPr>
      <w:r>
        <w:rPr>
          <w:rFonts w:hint="eastAsia" w:ascii="宋体" w:hAnsi="宋体" w:cs="宋体"/>
          <w:color w:val="auto"/>
          <w:kern w:val="0"/>
          <w:sz w:val="24"/>
          <w:lang w:val="en-US" w:eastAsia="zh-CN"/>
        </w:rPr>
        <w:t>（1）本次交易的粮食，粮权属乐清市人民政府，质量要求符合国家标准（GB1350-2009）三等及以上，即：出糙率≥75%，整精米率≥44%，杂质≤1%，水分13%-14.5%，黄米粒含量≤1%,谷外糙米含量≤2%，互混率≤5%，色泽、气味正常，达到食品安全标准。</w:t>
      </w:r>
    </w:p>
    <w:p w14:paraId="227EC499">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hint="eastAsia" w:ascii="宋体" w:hAnsi="宋体" w:cs="宋体"/>
          <w:color w:val="auto"/>
          <w:kern w:val="0"/>
          <w:sz w:val="24"/>
        </w:rPr>
      </w:pPr>
      <w:r>
        <w:rPr>
          <w:rFonts w:hint="eastAsia" w:ascii="宋体" w:hAnsi="宋体" w:cs="宋体"/>
          <w:color w:val="auto"/>
          <w:kern w:val="0"/>
          <w:sz w:val="24"/>
          <w:lang w:eastAsia="zh-CN"/>
        </w:rPr>
        <w:t>（</w:t>
      </w:r>
      <w:r>
        <w:rPr>
          <w:rFonts w:hint="eastAsia" w:ascii="宋体" w:hAnsi="宋体" w:cs="宋体"/>
          <w:color w:val="auto"/>
          <w:kern w:val="0"/>
          <w:sz w:val="24"/>
        </w:rPr>
        <w:t>2</w:t>
      </w:r>
      <w:r>
        <w:rPr>
          <w:rFonts w:hint="eastAsia" w:ascii="宋体" w:hAnsi="宋体" w:cs="宋体"/>
          <w:color w:val="auto"/>
          <w:kern w:val="0"/>
          <w:sz w:val="24"/>
          <w:lang w:eastAsia="zh-CN"/>
        </w:rPr>
        <w:t>）</w:t>
      </w:r>
      <w:r>
        <w:rPr>
          <w:rFonts w:hint="eastAsia" w:ascii="宋体" w:hAnsi="宋体" w:cs="宋体"/>
          <w:color w:val="auto"/>
          <w:kern w:val="0"/>
          <w:sz w:val="24"/>
          <w:lang w:val="en-US" w:eastAsia="zh-CN"/>
        </w:rPr>
        <w:t>竞得方</w:t>
      </w:r>
      <w:r>
        <w:rPr>
          <w:rFonts w:hint="eastAsia" w:ascii="宋体" w:hAnsi="宋体" w:cs="宋体"/>
          <w:color w:val="auto"/>
          <w:kern w:val="0"/>
          <w:sz w:val="24"/>
        </w:rPr>
        <w:t>须独立开展本地市场化收购工作，收购规模不得低于</w:t>
      </w:r>
      <w:r>
        <w:rPr>
          <w:rFonts w:hint="eastAsia" w:ascii="宋体" w:hAnsi="宋体" w:cs="宋体"/>
          <w:color w:val="auto"/>
          <w:kern w:val="0"/>
          <w:sz w:val="24"/>
          <w:lang w:eastAsia="zh-CN"/>
        </w:rPr>
        <w:t>竞得</w:t>
      </w:r>
      <w:r>
        <w:rPr>
          <w:rFonts w:hint="eastAsia" w:ascii="宋体" w:hAnsi="宋体" w:cs="宋体"/>
          <w:color w:val="auto"/>
          <w:kern w:val="0"/>
          <w:sz w:val="24"/>
        </w:rPr>
        <w:t>数量的</w:t>
      </w:r>
      <w:r>
        <w:rPr>
          <w:rFonts w:hint="eastAsia" w:ascii="宋体" w:hAnsi="宋体" w:cs="宋体"/>
          <w:color w:val="auto"/>
          <w:kern w:val="0"/>
          <w:sz w:val="24"/>
          <w:lang w:val="en-US" w:eastAsia="zh-CN"/>
        </w:rPr>
        <w:t>70%</w:t>
      </w:r>
      <w:r>
        <w:rPr>
          <w:rFonts w:hint="eastAsia" w:ascii="宋体" w:hAnsi="宋体" w:cs="宋体"/>
          <w:color w:val="auto"/>
          <w:kern w:val="0"/>
          <w:sz w:val="24"/>
        </w:rPr>
        <w:t>；市场化收购品种限定“泰两优217</w:t>
      </w:r>
      <w:r>
        <w:rPr>
          <w:rFonts w:hint="eastAsia" w:ascii="宋体" w:hAnsi="宋体" w:cs="宋体"/>
          <w:color w:val="auto"/>
          <w:kern w:val="0"/>
          <w:sz w:val="24"/>
          <w:lang w:val="en-US" w:eastAsia="zh-CN"/>
        </w:rPr>
        <w:t>号</w:t>
      </w:r>
      <w:r>
        <w:rPr>
          <w:rFonts w:hint="eastAsia" w:ascii="宋体" w:hAnsi="宋体" w:cs="宋体"/>
          <w:color w:val="auto"/>
          <w:kern w:val="0"/>
          <w:sz w:val="24"/>
        </w:rPr>
        <w:t>、泰两优1332</w:t>
      </w:r>
      <w:r>
        <w:rPr>
          <w:rFonts w:hint="eastAsia" w:ascii="宋体" w:hAnsi="宋体" w:cs="宋体"/>
          <w:color w:val="auto"/>
          <w:kern w:val="0"/>
          <w:sz w:val="24"/>
          <w:lang w:val="en-US" w:eastAsia="zh-CN"/>
        </w:rPr>
        <w:t>号</w:t>
      </w:r>
      <w:r>
        <w:rPr>
          <w:rFonts w:hint="eastAsia" w:ascii="宋体" w:hAnsi="宋体" w:cs="宋体"/>
          <w:color w:val="auto"/>
          <w:kern w:val="0"/>
          <w:sz w:val="24"/>
        </w:rPr>
        <w:t>、甬优15</w:t>
      </w:r>
      <w:r>
        <w:rPr>
          <w:rFonts w:hint="eastAsia" w:ascii="宋体" w:hAnsi="宋体" w:cs="宋体"/>
          <w:color w:val="auto"/>
          <w:kern w:val="0"/>
          <w:sz w:val="24"/>
          <w:lang w:val="en-US" w:eastAsia="zh-CN"/>
        </w:rPr>
        <w:t>号</w:t>
      </w:r>
      <w:r>
        <w:rPr>
          <w:rFonts w:hint="eastAsia" w:ascii="宋体" w:hAnsi="宋体" w:cs="宋体"/>
          <w:color w:val="auto"/>
          <w:kern w:val="0"/>
          <w:sz w:val="24"/>
        </w:rPr>
        <w:t>、中浙优8号、华浙优261号、嘉科优11、</w:t>
      </w:r>
      <w:r>
        <w:rPr>
          <w:rFonts w:hint="eastAsia" w:ascii="宋体" w:hAnsi="宋体" w:cs="宋体"/>
          <w:color w:val="auto"/>
          <w:kern w:val="0"/>
          <w:sz w:val="24"/>
          <w:lang w:val="en-US" w:eastAsia="zh-CN"/>
        </w:rPr>
        <w:t>嘉丰优2号</w:t>
      </w:r>
      <w:r>
        <w:rPr>
          <w:rFonts w:hint="eastAsia" w:ascii="宋体" w:hAnsi="宋体" w:cs="宋体"/>
          <w:color w:val="auto"/>
          <w:kern w:val="0"/>
          <w:sz w:val="24"/>
        </w:rPr>
        <w:t>”共7个品种；收购价格需高于常规中晚籼稻市场收购价。</w:t>
      </w:r>
      <w:r>
        <w:rPr>
          <w:rFonts w:hint="eastAsia" w:ascii="宋体" w:hAnsi="宋体" w:cs="宋体"/>
          <w:color w:val="auto"/>
          <w:kern w:val="0"/>
          <w:sz w:val="24"/>
          <w:lang w:eastAsia="zh-CN"/>
        </w:rPr>
        <w:t>竞得方</w:t>
      </w:r>
      <w:r>
        <w:rPr>
          <w:rFonts w:hint="eastAsia" w:ascii="宋体" w:hAnsi="宋体" w:cs="宋体"/>
          <w:color w:val="auto"/>
          <w:kern w:val="0"/>
          <w:sz w:val="24"/>
        </w:rPr>
        <w:t>应于当年11月至次年1月期间，整理完成粮食“五优联动”清单（详见附件1）、与农户签订的订单合同、种子发票等相关台账（后续若要其他资料，根据上级要求再另行提供）。若</w:t>
      </w:r>
      <w:r>
        <w:rPr>
          <w:rFonts w:hint="eastAsia" w:ascii="宋体" w:hAnsi="宋体" w:cs="宋体"/>
          <w:color w:val="auto"/>
          <w:kern w:val="0"/>
          <w:sz w:val="24"/>
          <w:lang w:eastAsia="zh-CN"/>
        </w:rPr>
        <w:t>竞得方</w:t>
      </w:r>
      <w:r>
        <w:rPr>
          <w:rFonts w:hint="eastAsia" w:ascii="宋体" w:hAnsi="宋体" w:cs="宋体"/>
          <w:color w:val="auto"/>
          <w:kern w:val="0"/>
          <w:sz w:val="24"/>
        </w:rPr>
        <w:t>未按本次招标要求完成市场化收购部分任务的（除受自然灾害等不可抗力影响外），委托方将按实际未完成数量，以</w:t>
      </w:r>
      <w:r>
        <w:rPr>
          <w:rFonts w:hint="eastAsia" w:ascii="宋体" w:hAnsi="宋体" w:cs="宋体"/>
          <w:b/>
          <w:bCs/>
          <w:color w:val="auto"/>
          <w:kern w:val="0"/>
          <w:sz w:val="24"/>
          <w:lang w:val="en-US" w:eastAsia="zh-CN"/>
        </w:rPr>
        <w:t>10</w:t>
      </w:r>
      <w:r>
        <w:rPr>
          <w:rFonts w:hint="eastAsia" w:ascii="宋体" w:hAnsi="宋体" w:cs="宋体"/>
          <w:color w:val="auto"/>
          <w:kern w:val="0"/>
          <w:sz w:val="24"/>
        </w:rPr>
        <w:t>元/吨的标准从履约保证金中予以扣除。</w:t>
      </w:r>
    </w:p>
    <w:p w14:paraId="5C6835DA">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hint="eastAsia" w:ascii="宋体" w:hAnsi="宋体" w:cs="宋体"/>
          <w:color w:val="auto"/>
          <w:kern w:val="0"/>
          <w:sz w:val="24"/>
        </w:rPr>
      </w:pPr>
      <w:r>
        <w:rPr>
          <w:rFonts w:hint="eastAsia" w:ascii="宋体" w:hAnsi="宋体" w:cs="宋体"/>
          <w:color w:val="auto"/>
          <w:kern w:val="0"/>
          <w:sz w:val="24"/>
          <w:lang w:eastAsia="zh-CN"/>
        </w:rPr>
        <w:t>（</w:t>
      </w:r>
      <w:r>
        <w:rPr>
          <w:rFonts w:hint="eastAsia" w:ascii="宋体" w:hAnsi="宋体" w:cs="宋体"/>
          <w:color w:val="auto"/>
          <w:kern w:val="0"/>
          <w:sz w:val="24"/>
        </w:rPr>
        <w:t>3</w:t>
      </w:r>
      <w:r>
        <w:rPr>
          <w:rFonts w:hint="eastAsia" w:ascii="宋体" w:hAnsi="宋体" w:cs="宋体"/>
          <w:color w:val="auto"/>
          <w:kern w:val="0"/>
          <w:sz w:val="24"/>
          <w:lang w:eastAsia="zh-CN"/>
        </w:rPr>
        <w:t>）竞得方</w:t>
      </w:r>
      <w:r>
        <w:rPr>
          <w:rFonts w:hint="eastAsia" w:ascii="宋体" w:hAnsi="宋体" w:cs="宋体"/>
          <w:color w:val="auto"/>
          <w:kern w:val="0"/>
          <w:sz w:val="24"/>
        </w:rPr>
        <w:t>要参与订单签订、田间管理、收割烘干、收购入库和加工销售等“五优联动”全过程管理，对照《</w:t>
      </w:r>
      <w:r>
        <w:rPr>
          <w:rFonts w:hint="eastAsia" w:ascii="宋体" w:hAnsi="宋体" w:cs="宋体"/>
          <w:color w:val="auto"/>
          <w:kern w:val="0"/>
          <w:sz w:val="24"/>
          <w:lang w:eastAsia="zh-CN"/>
        </w:rPr>
        <w:t>乐清市</w:t>
      </w:r>
      <w:r>
        <w:rPr>
          <w:rFonts w:hint="eastAsia" w:ascii="宋体" w:hAnsi="宋体" w:cs="宋体"/>
          <w:color w:val="auto"/>
          <w:kern w:val="0"/>
          <w:sz w:val="24"/>
        </w:rPr>
        <w:t>“五优联动”阶段性材料清单》（附件2），建立“五优联动”全过程台账。收购时</w:t>
      </w:r>
      <w:r>
        <w:rPr>
          <w:rFonts w:hint="eastAsia" w:ascii="宋体" w:hAnsi="宋体" w:cs="宋体"/>
          <w:color w:val="auto"/>
          <w:kern w:val="0"/>
          <w:sz w:val="24"/>
          <w:lang w:eastAsia="zh-CN"/>
        </w:rPr>
        <w:t>竞得方</w:t>
      </w:r>
      <w:r>
        <w:rPr>
          <w:rFonts w:hint="eastAsia" w:ascii="宋体" w:hAnsi="宋体" w:cs="宋体"/>
          <w:color w:val="auto"/>
          <w:kern w:val="0"/>
          <w:sz w:val="24"/>
        </w:rPr>
        <w:t>需负责粮食品种鉴定职责，并协助委托方做好品质把关，若未履行相关职责，则视为认可委托方采取的相关措施。</w:t>
      </w:r>
      <w:r>
        <w:rPr>
          <w:rFonts w:hint="eastAsia" w:ascii="宋体" w:hAnsi="宋体" w:cs="宋体"/>
          <w:color w:val="auto"/>
          <w:kern w:val="0"/>
          <w:sz w:val="24"/>
          <w:lang w:eastAsia="zh-CN"/>
        </w:rPr>
        <w:t>竞得方</w:t>
      </w:r>
      <w:r>
        <w:rPr>
          <w:rFonts w:hint="eastAsia" w:ascii="宋体" w:hAnsi="宋体" w:cs="宋体"/>
          <w:color w:val="auto"/>
          <w:kern w:val="0"/>
          <w:sz w:val="24"/>
        </w:rPr>
        <w:t>应积极推进优粮优价、优粮优销策略，规范“五优大米”名称使用。原则上只有“五优联动”粮食才可使用“五优大米”相关标识名称。严禁以原粮形式销售“五优联动”订单粮食，一经查实，委托方将按照按销售数量，以30元/吨的标准追究</w:t>
      </w:r>
      <w:r>
        <w:rPr>
          <w:rFonts w:hint="eastAsia" w:ascii="宋体" w:hAnsi="宋体" w:cs="宋体"/>
          <w:color w:val="auto"/>
          <w:kern w:val="0"/>
          <w:sz w:val="24"/>
          <w:lang w:eastAsia="zh-CN"/>
        </w:rPr>
        <w:t>竞得方</w:t>
      </w:r>
      <w:r>
        <w:rPr>
          <w:rFonts w:hint="eastAsia" w:ascii="宋体" w:hAnsi="宋体" w:cs="宋体"/>
          <w:color w:val="auto"/>
          <w:kern w:val="0"/>
          <w:sz w:val="24"/>
        </w:rPr>
        <w:t>违约责任，并直接从履约保证金中扣减相应金额。</w:t>
      </w:r>
    </w:p>
    <w:p w14:paraId="0D23493F">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hint="eastAsia" w:ascii="宋体" w:hAnsi="宋体" w:cs="宋体"/>
          <w:color w:val="auto"/>
          <w:kern w:val="0"/>
          <w:sz w:val="24"/>
        </w:rPr>
      </w:pPr>
      <w:r>
        <w:rPr>
          <w:rFonts w:hint="eastAsia" w:ascii="宋体" w:hAnsi="宋体" w:cs="宋体"/>
          <w:color w:val="auto"/>
          <w:kern w:val="0"/>
          <w:sz w:val="24"/>
          <w:lang w:val="en-US" w:eastAsia="zh-CN"/>
        </w:rPr>
        <w:t>（4）委托方做好订单收购合同签订落实、组织收购、货款结算、质量检测、数据统计、储存保管等工作，并对储存粮食数量、质量及储存安全负责，同时要积极开展低温或准低温储存。</w:t>
      </w:r>
    </w:p>
    <w:p w14:paraId="21027DBE">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hint="eastAsia" w:ascii="宋体" w:hAnsi="宋体" w:cs="宋体"/>
          <w:color w:val="auto"/>
          <w:kern w:val="0"/>
          <w:sz w:val="24"/>
        </w:rPr>
      </w:pPr>
      <w:r>
        <w:rPr>
          <w:rFonts w:hint="eastAsia" w:ascii="宋体" w:hAnsi="宋体" w:cs="宋体"/>
          <w:color w:val="auto"/>
          <w:kern w:val="0"/>
          <w:sz w:val="24"/>
          <w:lang w:val="en-US" w:eastAsia="zh-CN"/>
        </w:rPr>
        <w:t>（5）优质订单粮食的收购。收购时间暂定2025年11月15日至2025年12月15日，竞得方参与整个收购过程。优质加价部分收购资金，由竞得方11月10日前一次性支付给委托方。晚稻谷收购价和优质加价，在粮食订单收购结束后，由委托方统一与订单农户通过一卡通结算，统一发放。若粮食质量经第三方有资质检测机构检验符合国家标准及卫生指标不符合规定要求，如粮食质量检验不达标或卫生指标超标，收购的粮食由委托方按超标粮食收购处置办法进行处置，订单农户不享受优质加价，已经收取的优质加价部分收购资金退还给竞得方。当实际收购数量超出竞得数量时，未超过竞得数量0.2%（含）的部分，按竞得价格结算；超出竞得数量0.2%（不含）的部分，按收购价结算。</w:t>
      </w:r>
    </w:p>
    <w:p w14:paraId="750E9152">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hint="eastAsia" w:ascii="宋体" w:hAnsi="宋体" w:cs="宋体"/>
          <w:color w:val="auto"/>
          <w:kern w:val="0"/>
          <w:sz w:val="24"/>
          <w:lang w:val="en-US" w:eastAsia="zh-CN"/>
        </w:rPr>
      </w:pPr>
      <w:r>
        <w:rPr>
          <w:rFonts w:hint="eastAsia" w:ascii="宋体" w:hAnsi="宋体" w:cs="宋体"/>
          <w:color w:val="auto"/>
          <w:kern w:val="0"/>
          <w:sz w:val="24"/>
          <w:lang w:val="en-US" w:eastAsia="zh-CN"/>
        </w:rPr>
        <w:t>（6）轮换销售实行包干制度。粮食出库时间原则上为次年3-8月（乐清湾粮库为次年3-7月），竞得方根据《乐清市“五优联动”试点加工企业委托合同》向委托方提出用粮计划，先付款后提货，乐清湾粮库自出库起3个月内完成提货，其他库点仓间自出库起两个月内完成提货，超过提货规定日期截止日后，货款按农发行储备粮贷款利率收取未付款的利息，未提货物按3元/吨/天收取仓储使用费，委托方不承担保管责任，由此给委托方造成的损失由竞得方承担，若影响委托方业务后续开展，将做转仓处理，费用由竞得方负担。</w:t>
      </w:r>
    </w:p>
    <w:p w14:paraId="4F611A2A">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hint="eastAsia" w:ascii="宋体" w:hAnsi="宋体" w:cs="宋体"/>
          <w:color w:val="auto"/>
          <w:kern w:val="0"/>
          <w:sz w:val="24"/>
        </w:rPr>
      </w:pPr>
      <w:r>
        <w:rPr>
          <w:rFonts w:hint="eastAsia" w:ascii="宋体" w:hAnsi="宋体" w:cs="宋体"/>
          <w:color w:val="auto"/>
          <w:kern w:val="0"/>
          <w:sz w:val="24"/>
          <w:lang w:val="en-US" w:eastAsia="zh-CN"/>
        </w:rPr>
        <w:t>（7）粮食出库损溢规定。乐清市“五优联动”优质晚稻从收购开始到轮换销售出库期间产生的所有损耗，由竞得方负责，委托方不承担任何责任，如有溢余归竞得方所有，储粮安全责任由竞得方负责。</w:t>
      </w:r>
    </w:p>
    <w:p w14:paraId="439111B8">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hint="eastAsia" w:ascii="宋体" w:hAnsi="宋体" w:cs="宋体"/>
          <w:color w:val="auto"/>
          <w:kern w:val="0"/>
          <w:sz w:val="24"/>
        </w:rPr>
      </w:pPr>
      <w:r>
        <w:rPr>
          <w:rFonts w:hint="eastAsia" w:ascii="宋体" w:hAnsi="宋体" w:cs="宋体"/>
          <w:color w:val="auto"/>
          <w:kern w:val="0"/>
          <w:sz w:val="24"/>
          <w:lang w:val="en-US" w:eastAsia="zh-CN"/>
        </w:rPr>
        <w:t>为确保储粮安全，需要通风降温，引起粮食水分减量,造成粮食数量损失由竞得方负责。如出现发热等情况，需要提前出库的，竞得方要无条件出库，造成粮食数量损失的，由竞得方承担。</w:t>
      </w:r>
    </w:p>
    <w:p w14:paraId="36CA0C2F">
      <w:pPr>
        <w:keepNext w:val="0"/>
        <w:keepLines w:val="0"/>
        <w:pageBreakBefore w:val="0"/>
        <w:widowControl/>
        <w:numPr>
          <w:ilvl w:val="0"/>
          <w:numId w:val="3"/>
        </w:numPr>
        <w:kinsoku/>
        <w:wordWrap/>
        <w:overflowPunct/>
        <w:topLinePunct w:val="0"/>
        <w:autoSpaceDE/>
        <w:autoSpaceDN/>
        <w:bidi w:val="0"/>
        <w:adjustRightInd/>
        <w:snapToGrid/>
        <w:spacing w:line="380" w:lineRule="atLeast"/>
        <w:ind w:firstLine="360" w:firstLineChars="150"/>
        <w:jc w:val="left"/>
        <w:textAlignment w:val="auto"/>
        <w:rPr>
          <w:rFonts w:hint="eastAsia" w:ascii="宋体" w:hAnsi="宋体" w:cs="宋体"/>
          <w:color w:val="auto"/>
          <w:kern w:val="0"/>
          <w:sz w:val="24"/>
        </w:rPr>
      </w:pPr>
      <w:r>
        <w:rPr>
          <w:rFonts w:hint="eastAsia" w:ascii="宋体" w:hAnsi="宋体" w:cs="宋体"/>
          <w:color w:val="auto"/>
          <w:kern w:val="0"/>
          <w:sz w:val="24"/>
          <w:lang w:val="en-US" w:eastAsia="zh-CN"/>
        </w:rPr>
        <w:t>粮食销售结算。粮食销售价为收购结算价的平均价（含税）。粮食出库时，委托方按粮食销售价格与竞得方结算。</w:t>
      </w:r>
    </w:p>
    <w:p w14:paraId="6DE1C4C6">
      <w:pPr>
        <w:keepNext w:val="0"/>
        <w:keepLines w:val="0"/>
        <w:pageBreakBefore w:val="0"/>
        <w:widowControl/>
        <w:numPr>
          <w:ilvl w:val="0"/>
          <w:numId w:val="3"/>
        </w:numPr>
        <w:kinsoku/>
        <w:wordWrap/>
        <w:overflowPunct/>
        <w:topLinePunct w:val="0"/>
        <w:autoSpaceDE/>
        <w:autoSpaceDN/>
        <w:bidi w:val="0"/>
        <w:adjustRightInd/>
        <w:snapToGrid/>
        <w:spacing w:line="380" w:lineRule="atLeast"/>
        <w:ind w:firstLine="360" w:firstLineChars="150"/>
        <w:jc w:val="left"/>
        <w:textAlignment w:val="auto"/>
        <w:rPr>
          <w:rFonts w:hint="eastAsia" w:ascii="宋体" w:hAnsi="宋体" w:cs="宋体"/>
          <w:color w:val="auto"/>
          <w:kern w:val="0"/>
          <w:sz w:val="24"/>
        </w:rPr>
      </w:pPr>
      <w:r>
        <w:rPr>
          <w:rFonts w:hint="eastAsia" w:ascii="宋体" w:hAnsi="宋体" w:cs="宋体"/>
          <w:color w:val="auto"/>
          <w:kern w:val="0"/>
          <w:sz w:val="24"/>
          <w:lang w:val="en-US" w:eastAsia="zh-CN"/>
        </w:rPr>
        <w:t>订单合同履行过程中，如发生自然灾害造成粮食减产、质量降等、食品安全指标不合格的，以及达不到储备粮质量要求的，双方终止《乐清市五优联动”试点加工企业委托合同》，退还保证金，互不承担法律责任。</w:t>
      </w:r>
    </w:p>
    <w:p w14:paraId="2ABD2161">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hint="eastAsia" w:ascii="宋体" w:hAnsi="宋体" w:cs="宋体"/>
          <w:color w:val="auto"/>
          <w:kern w:val="0"/>
          <w:sz w:val="24"/>
        </w:rPr>
      </w:pPr>
      <w:r>
        <w:rPr>
          <w:rFonts w:hint="eastAsia" w:ascii="宋体" w:hAnsi="宋体" w:cs="宋体"/>
          <w:color w:val="auto"/>
          <w:kern w:val="0"/>
          <w:sz w:val="24"/>
          <w:lang w:val="en-US" w:eastAsia="zh-CN"/>
        </w:rPr>
        <w:t>（10）特殊情况下，乐清市人民政府需紧急调用该批粮食，竞得方必须无条件执行。双方终止《乐清市“五优联动”试点加工企业委托合同》，退还保证金。</w:t>
      </w:r>
    </w:p>
    <w:p w14:paraId="66D53A6D">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hint="eastAsia" w:ascii="宋体" w:hAnsi="宋体" w:cs="宋体"/>
          <w:color w:val="auto"/>
          <w:kern w:val="0"/>
          <w:sz w:val="24"/>
        </w:rPr>
      </w:pPr>
      <w:r>
        <w:rPr>
          <w:rFonts w:hint="eastAsia" w:ascii="宋体" w:hAnsi="宋体" w:cs="宋体"/>
          <w:color w:val="auto"/>
          <w:kern w:val="0"/>
          <w:sz w:val="24"/>
          <w:lang w:val="en-US" w:eastAsia="zh-CN"/>
        </w:rPr>
        <w:t>（11）若此公告与乐清市发展和改革局印发的《乐清市2025年粮食“五优联动”实施方案》有出入，以文件为主。</w:t>
      </w:r>
    </w:p>
    <w:p w14:paraId="0595E78B">
      <w:pPr>
        <w:keepNext w:val="0"/>
        <w:keepLines w:val="0"/>
        <w:pageBreakBefore w:val="0"/>
        <w:widowControl/>
        <w:kinsoku/>
        <w:wordWrap/>
        <w:overflowPunct/>
        <w:topLinePunct w:val="0"/>
        <w:autoSpaceDE/>
        <w:autoSpaceDN/>
        <w:bidi w:val="0"/>
        <w:adjustRightInd/>
        <w:snapToGrid/>
        <w:spacing w:line="380" w:lineRule="atLeast"/>
        <w:ind w:firstLine="504" w:firstLineChars="210"/>
        <w:jc w:val="left"/>
        <w:textAlignment w:val="auto"/>
        <w:rPr>
          <w:rFonts w:ascii="宋体" w:hAnsi="宋体" w:cs="宋体"/>
          <w:b/>
          <w:bCs/>
          <w:color w:val="auto"/>
          <w:kern w:val="0"/>
          <w:sz w:val="24"/>
        </w:rPr>
      </w:pPr>
      <w:r>
        <w:rPr>
          <w:rFonts w:hint="eastAsia" w:ascii="宋体" w:hAnsi="宋体" w:cs="宋体"/>
          <w:b/>
          <w:bCs/>
          <w:color w:val="auto"/>
          <w:kern w:val="0"/>
          <w:sz w:val="24"/>
        </w:rPr>
        <w:t>二、竞价要求</w:t>
      </w:r>
    </w:p>
    <w:p w14:paraId="09F85C60">
      <w:pPr>
        <w:keepNext w:val="0"/>
        <w:keepLines w:val="0"/>
        <w:pageBreakBefore w:val="0"/>
        <w:kinsoku/>
        <w:wordWrap/>
        <w:overflowPunct/>
        <w:topLinePunct w:val="0"/>
        <w:autoSpaceDE/>
        <w:autoSpaceDN/>
        <w:bidi w:val="0"/>
        <w:adjustRightInd/>
        <w:snapToGrid/>
        <w:spacing w:line="380" w:lineRule="atLeast"/>
        <w:ind w:firstLine="480" w:firstLineChars="200"/>
        <w:textAlignment w:val="auto"/>
        <w:rPr>
          <w:rFonts w:ascii="宋体" w:cs="宋体"/>
          <w:color w:val="auto"/>
          <w:kern w:val="0"/>
          <w:sz w:val="24"/>
        </w:rPr>
      </w:pPr>
      <w:r>
        <w:rPr>
          <w:rFonts w:hint="eastAsia" w:ascii="宋体" w:cs="宋体"/>
          <w:color w:val="auto"/>
          <w:kern w:val="0"/>
          <w:sz w:val="24"/>
        </w:rPr>
        <w:t>1、标的物粮权属于</w:t>
      </w:r>
      <w:r>
        <w:rPr>
          <w:rFonts w:hint="eastAsia" w:ascii="宋体" w:cs="宋体"/>
          <w:color w:val="auto"/>
          <w:kern w:val="0"/>
          <w:sz w:val="24"/>
          <w:lang w:val="en-US" w:eastAsia="zh-CN"/>
        </w:rPr>
        <w:t>乐清市</w:t>
      </w:r>
      <w:r>
        <w:rPr>
          <w:rFonts w:hint="eastAsia" w:ascii="宋体" w:cs="宋体"/>
          <w:color w:val="auto"/>
          <w:kern w:val="0"/>
          <w:sz w:val="24"/>
        </w:rPr>
        <w:t>人民政府，在粮食出库前享有应急动用权，竞得方无权干涉。</w:t>
      </w:r>
    </w:p>
    <w:p w14:paraId="4849F9CD">
      <w:pPr>
        <w:keepNext w:val="0"/>
        <w:keepLines w:val="0"/>
        <w:pageBreakBefore w:val="0"/>
        <w:kinsoku/>
        <w:wordWrap/>
        <w:overflowPunct/>
        <w:topLinePunct w:val="0"/>
        <w:autoSpaceDE/>
        <w:autoSpaceDN/>
        <w:bidi w:val="0"/>
        <w:adjustRightInd/>
        <w:snapToGrid/>
        <w:spacing w:line="380" w:lineRule="atLeast"/>
        <w:ind w:firstLine="480" w:firstLineChars="200"/>
        <w:textAlignment w:val="auto"/>
        <w:rPr>
          <w:rFonts w:ascii="宋体" w:cs="宋体"/>
          <w:color w:val="auto"/>
          <w:kern w:val="0"/>
          <w:sz w:val="24"/>
        </w:rPr>
      </w:pPr>
      <w:r>
        <w:rPr>
          <w:rFonts w:hint="eastAsia" w:ascii="宋体" w:cs="宋体"/>
          <w:color w:val="auto"/>
          <w:kern w:val="0"/>
          <w:sz w:val="24"/>
        </w:rPr>
        <w:t>2、如委托方应急动用标的物，委托方退还动用部分数量的合同履约保证金（不计息），双方不负违约责任。</w:t>
      </w:r>
    </w:p>
    <w:p w14:paraId="67339117">
      <w:pPr>
        <w:keepNext w:val="0"/>
        <w:keepLines w:val="0"/>
        <w:pageBreakBefore w:val="0"/>
        <w:kinsoku/>
        <w:wordWrap/>
        <w:overflowPunct/>
        <w:topLinePunct w:val="0"/>
        <w:autoSpaceDE/>
        <w:autoSpaceDN/>
        <w:bidi w:val="0"/>
        <w:adjustRightInd/>
        <w:snapToGrid/>
        <w:spacing w:line="380" w:lineRule="atLeast"/>
        <w:ind w:firstLine="480" w:firstLineChars="200"/>
        <w:textAlignment w:val="auto"/>
        <w:rPr>
          <w:rFonts w:hint="eastAsia" w:ascii="宋体" w:cs="宋体"/>
          <w:color w:val="auto"/>
          <w:kern w:val="0"/>
          <w:sz w:val="24"/>
          <w:lang w:val="en-US" w:eastAsia="zh-CN"/>
        </w:rPr>
      </w:pPr>
      <w:r>
        <w:rPr>
          <w:rFonts w:hint="eastAsia" w:ascii="宋体" w:cs="宋体"/>
          <w:color w:val="auto"/>
          <w:kern w:val="0"/>
          <w:sz w:val="24"/>
          <w:lang w:val="en-US" w:eastAsia="zh-CN"/>
        </w:rPr>
        <w:t>3、竞得方在竞得后3个工作日内，按100元/吨的标准，向乐清市粮食收储有限公司缴纳履约保证金。竞得方此前已向</w:t>
      </w:r>
      <w:r>
        <w:rPr>
          <w:rFonts w:hint="eastAsia" w:ascii="宋体" w:hAnsi="宋体" w:eastAsia="宋体" w:cs="Times New Roman"/>
          <w:color w:val="auto"/>
          <w:kern w:val="0"/>
          <w:sz w:val="24"/>
          <w:szCs w:val="24"/>
        </w:rPr>
        <w:t>国家粮食浙江交易中心</w:t>
      </w:r>
      <w:r>
        <w:rPr>
          <w:rFonts w:hint="eastAsia" w:ascii="宋体" w:cs="宋体"/>
          <w:color w:val="auto"/>
          <w:kern w:val="0"/>
          <w:sz w:val="24"/>
          <w:lang w:val="en-US" w:eastAsia="zh-CN"/>
        </w:rPr>
        <w:t>提交的保证金，待委托方确认收到履约保证金后，将予以退还（不计息）。履约保证金不得用于抵扣最后一批次的货款。自标段内最后一车粮食完成出库之日起，满3个月后，委托方根据合同实际履行情况，对履约保证金作无息退还处理。若存在违约情形，将按照合同约定扣除相应款项后退还剩余部分。</w:t>
      </w:r>
    </w:p>
    <w:p w14:paraId="79EBDC88">
      <w:pPr>
        <w:keepNext w:val="0"/>
        <w:keepLines w:val="0"/>
        <w:pageBreakBefore w:val="0"/>
        <w:kinsoku/>
        <w:wordWrap/>
        <w:overflowPunct/>
        <w:topLinePunct w:val="0"/>
        <w:autoSpaceDE/>
        <w:autoSpaceDN/>
        <w:bidi w:val="0"/>
        <w:adjustRightInd/>
        <w:snapToGrid/>
        <w:spacing w:line="380" w:lineRule="atLeast"/>
        <w:ind w:firstLine="480" w:firstLineChars="200"/>
        <w:textAlignment w:val="auto"/>
        <w:rPr>
          <w:rFonts w:hint="default" w:ascii="宋体" w:eastAsia="宋体" w:cs="宋体"/>
          <w:color w:val="auto"/>
          <w:kern w:val="0"/>
          <w:sz w:val="24"/>
          <w:lang w:val="en-US" w:eastAsia="zh-CN"/>
        </w:rPr>
      </w:pPr>
      <w:r>
        <w:rPr>
          <w:rFonts w:ascii="宋体" w:hAnsi="宋体" w:cs="宋体"/>
          <w:color w:val="auto"/>
          <w:kern w:val="0"/>
          <w:sz w:val="24"/>
        </w:rPr>
        <w:t>4</w:t>
      </w:r>
      <w:r>
        <w:rPr>
          <w:rFonts w:hint="eastAsia" w:ascii="宋体" w:hAnsi="宋体" w:cs="宋体"/>
          <w:color w:val="auto"/>
          <w:kern w:val="0"/>
          <w:sz w:val="24"/>
        </w:rPr>
        <w:t>、本次</w:t>
      </w:r>
      <w:r>
        <w:rPr>
          <w:rFonts w:hint="eastAsia" w:ascii="宋体" w:hAnsi="宋体" w:cs="宋体"/>
          <w:color w:val="auto"/>
          <w:kern w:val="0"/>
          <w:sz w:val="24"/>
          <w:lang w:val="en-US" w:eastAsia="zh-CN"/>
        </w:rPr>
        <w:t>竞价</w:t>
      </w:r>
      <w:r>
        <w:rPr>
          <w:rFonts w:hint="eastAsia" w:ascii="宋体" w:cs="宋体"/>
          <w:color w:val="auto"/>
          <w:kern w:val="0"/>
          <w:sz w:val="24"/>
        </w:rPr>
        <w:t>“</w:t>
      </w:r>
      <w:r>
        <w:rPr>
          <w:rFonts w:hint="eastAsia" w:ascii="宋体" w:hAnsi="宋体" w:cs="宋体"/>
          <w:color w:val="auto"/>
          <w:kern w:val="0"/>
          <w:sz w:val="24"/>
        </w:rPr>
        <w:t>优质加价</w:t>
      </w:r>
      <w:r>
        <w:rPr>
          <w:rFonts w:hint="eastAsia" w:ascii="宋体" w:cs="宋体"/>
          <w:color w:val="auto"/>
          <w:kern w:val="0"/>
          <w:sz w:val="24"/>
        </w:rPr>
        <w:t>”</w:t>
      </w:r>
      <w:r>
        <w:rPr>
          <w:rFonts w:hint="eastAsia" w:ascii="宋体" w:hAnsi="宋体" w:cs="宋体"/>
          <w:color w:val="auto"/>
          <w:kern w:val="0"/>
          <w:sz w:val="24"/>
        </w:rPr>
        <w:t>采取限时竞价（最高价竞得）确定竞得单位，设竞价底价，</w:t>
      </w:r>
      <w:r>
        <w:rPr>
          <w:rFonts w:hint="eastAsia" w:ascii="宋体" w:hAnsi="宋体" w:cs="宋体"/>
          <w:b/>
          <w:color w:val="auto"/>
          <w:kern w:val="0"/>
          <w:sz w:val="24"/>
        </w:rPr>
        <w:t>竞得人即为销售出库竞得人。</w:t>
      </w:r>
      <w:r>
        <w:rPr>
          <w:rFonts w:hint="eastAsia" w:ascii="宋体" w:hAnsi="宋体" w:cs="宋体"/>
          <w:color w:val="auto"/>
          <w:kern w:val="0"/>
          <w:sz w:val="24"/>
        </w:rPr>
        <w:t>本次竞价</w:t>
      </w:r>
      <w:r>
        <w:rPr>
          <w:rFonts w:hint="eastAsia" w:ascii="宋体" w:cs="宋体"/>
          <w:color w:val="auto"/>
          <w:kern w:val="0"/>
          <w:sz w:val="24"/>
        </w:rPr>
        <w:t>“</w:t>
      </w:r>
      <w:r>
        <w:rPr>
          <w:rFonts w:hint="eastAsia" w:ascii="宋体" w:hAnsi="宋体" w:cs="宋体"/>
          <w:color w:val="auto"/>
          <w:kern w:val="0"/>
          <w:sz w:val="24"/>
        </w:rPr>
        <w:t>优质加价</w:t>
      </w:r>
      <w:r>
        <w:rPr>
          <w:rFonts w:hint="eastAsia" w:ascii="宋体" w:cs="宋体"/>
          <w:color w:val="auto"/>
          <w:kern w:val="0"/>
          <w:sz w:val="24"/>
        </w:rPr>
        <w:t>”</w:t>
      </w:r>
      <w:r>
        <w:rPr>
          <w:rFonts w:hint="eastAsia" w:ascii="宋体" w:hAnsi="宋体" w:cs="宋体"/>
          <w:color w:val="auto"/>
          <w:kern w:val="0"/>
          <w:sz w:val="24"/>
        </w:rPr>
        <w:t>用于优质粮食收购时竞得企业的保底加价，</w:t>
      </w:r>
      <w:r>
        <w:rPr>
          <w:rFonts w:hint="eastAsia" w:ascii="宋体" w:cs="宋体"/>
          <w:color w:val="auto"/>
          <w:kern w:val="0"/>
          <w:sz w:val="24"/>
        </w:rPr>
        <w:t>“</w:t>
      </w:r>
      <w:r>
        <w:rPr>
          <w:rFonts w:hint="eastAsia" w:ascii="宋体" w:hAnsi="宋体" w:cs="宋体"/>
          <w:color w:val="auto"/>
          <w:kern w:val="0"/>
          <w:sz w:val="24"/>
        </w:rPr>
        <w:t>优质加价</w:t>
      </w:r>
      <w:r>
        <w:rPr>
          <w:rFonts w:hint="eastAsia" w:ascii="宋体" w:cs="宋体"/>
          <w:color w:val="auto"/>
          <w:kern w:val="0"/>
          <w:sz w:val="24"/>
        </w:rPr>
        <w:t>”</w:t>
      </w:r>
      <w:r>
        <w:rPr>
          <w:rFonts w:hint="eastAsia" w:ascii="宋体" w:hAnsi="宋体" w:cs="宋体"/>
          <w:color w:val="auto"/>
          <w:kern w:val="0"/>
          <w:sz w:val="24"/>
          <w:lang w:val="en-US" w:eastAsia="zh-CN"/>
        </w:rPr>
        <w:t>起始</w:t>
      </w:r>
      <w:r>
        <w:rPr>
          <w:rFonts w:hint="eastAsia" w:ascii="宋体" w:hAnsi="宋体" w:cs="宋体"/>
          <w:color w:val="auto"/>
          <w:kern w:val="0"/>
          <w:sz w:val="24"/>
        </w:rPr>
        <w:t>价不低于</w:t>
      </w:r>
      <w:r>
        <w:rPr>
          <w:rFonts w:hint="eastAsia" w:ascii="宋体" w:hAnsi="宋体" w:cs="宋体"/>
          <w:color w:val="auto"/>
          <w:kern w:val="0"/>
          <w:sz w:val="24"/>
          <w:u w:val="single"/>
          <w:lang w:val="en-US" w:eastAsia="zh-CN"/>
        </w:rPr>
        <w:t>30</w:t>
      </w:r>
      <w:r>
        <w:rPr>
          <w:rFonts w:hint="eastAsia" w:ascii="宋体" w:hAnsi="宋体" w:cs="宋体"/>
          <w:color w:val="auto"/>
          <w:kern w:val="0"/>
          <w:sz w:val="24"/>
          <w:u w:val="single"/>
        </w:rPr>
        <w:t>元</w:t>
      </w:r>
      <w:r>
        <w:rPr>
          <w:rFonts w:ascii="宋体" w:hAnsi="宋体" w:cs="宋体"/>
          <w:color w:val="auto"/>
          <w:kern w:val="0"/>
          <w:sz w:val="24"/>
        </w:rPr>
        <w:t>/</w:t>
      </w:r>
      <w:r>
        <w:rPr>
          <w:rFonts w:hint="eastAsia" w:ascii="宋体" w:hAnsi="宋体" w:cs="宋体"/>
          <w:color w:val="auto"/>
          <w:kern w:val="0"/>
          <w:sz w:val="24"/>
        </w:rPr>
        <w:t>吨。</w:t>
      </w:r>
      <w:r>
        <w:rPr>
          <w:rFonts w:hint="eastAsia" w:ascii="宋体" w:hAnsi="宋体" w:cs="宋体"/>
          <w:color w:val="auto"/>
          <w:kern w:val="0"/>
          <w:sz w:val="24"/>
          <w:lang w:val="en-US" w:eastAsia="zh-CN"/>
        </w:rPr>
        <w:t>每次加价2元</w:t>
      </w:r>
    </w:p>
    <w:p w14:paraId="04D4C846">
      <w:pPr>
        <w:keepNext w:val="0"/>
        <w:keepLines w:val="0"/>
        <w:pageBreakBefore w:val="0"/>
        <w:kinsoku/>
        <w:wordWrap/>
        <w:overflowPunct/>
        <w:topLinePunct w:val="0"/>
        <w:autoSpaceDE/>
        <w:autoSpaceDN/>
        <w:bidi w:val="0"/>
        <w:adjustRightInd/>
        <w:snapToGrid/>
        <w:spacing w:line="380" w:lineRule="atLeast"/>
        <w:ind w:firstLine="480" w:firstLineChars="200"/>
        <w:textAlignment w:val="auto"/>
        <w:rPr>
          <w:rFonts w:ascii="宋体" w:cs="宋体"/>
          <w:color w:val="auto"/>
          <w:kern w:val="0"/>
          <w:sz w:val="24"/>
        </w:rPr>
      </w:pPr>
    </w:p>
    <w:p w14:paraId="6E9B8FEB">
      <w:pPr>
        <w:keepNext w:val="0"/>
        <w:keepLines w:val="0"/>
        <w:pageBreakBefore w:val="0"/>
        <w:kinsoku/>
        <w:wordWrap/>
        <w:overflowPunct/>
        <w:topLinePunct w:val="0"/>
        <w:autoSpaceDE/>
        <w:autoSpaceDN/>
        <w:bidi w:val="0"/>
        <w:adjustRightInd/>
        <w:snapToGrid/>
        <w:spacing w:line="380" w:lineRule="atLeast"/>
        <w:ind w:firstLine="480" w:firstLineChars="200"/>
        <w:textAlignment w:val="auto"/>
        <w:rPr>
          <w:rFonts w:ascii="宋体" w:cs="宋体"/>
          <w:color w:val="auto"/>
          <w:kern w:val="0"/>
          <w:sz w:val="24"/>
        </w:rPr>
      </w:pPr>
    </w:p>
    <w:p w14:paraId="01AB9629">
      <w:pPr>
        <w:keepNext w:val="0"/>
        <w:keepLines w:val="0"/>
        <w:pageBreakBefore w:val="0"/>
        <w:kinsoku/>
        <w:wordWrap/>
        <w:overflowPunct/>
        <w:topLinePunct w:val="0"/>
        <w:autoSpaceDE/>
        <w:autoSpaceDN/>
        <w:bidi w:val="0"/>
        <w:adjustRightInd w:val="0"/>
        <w:snapToGrid w:val="0"/>
        <w:spacing w:line="350" w:lineRule="exact"/>
        <w:ind w:firstLine="480" w:firstLineChars="200"/>
        <w:rPr>
          <w:rFonts w:hint="eastAsia" w:ascii="宋体" w:hAnsi="宋体" w:eastAsia="宋体" w:cs="Times New Roman"/>
          <w:kern w:val="0"/>
          <w:sz w:val="24"/>
          <w:szCs w:val="24"/>
        </w:rPr>
      </w:pPr>
    </w:p>
    <w:p w14:paraId="3E7AE7C7">
      <w:pPr>
        <w:keepNext w:val="0"/>
        <w:keepLines w:val="0"/>
        <w:pageBreakBefore w:val="0"/>
        <w:kinsoku/>
        <w:wordWrap/>
        <w:overflowPunct/>
        <w:topLinePunct w:val="0"/>
        <w:autoSpaceDE/>
        <w:autoSpaceDN/>
        <w:bidi w:val="0"/>
        <w:adjustRightInd w:val="0"/>
        <w:snapToGrid w:val="0"/>
        <w:spacing w:line="350" w:lineRule="exact"/>
        <w:ind w:left="420" w:leftChars="0" w:firstLine="4238" w:firstLineChars="1766"/>
        <w:jc w:val="right"/>
        <w:rPr>
          <w:rFonts w:hint="eastAsia" w:ascii="宋体" w:hAnsi="宋体"/>
          <w:kern w:val="0"/>
          <w:sz w:val="24"/>
          <w:szCs w:val="24"/>
        </w:rPr>
      </w:pPr>
      <w:r>
        <w:rPr>
          <w:rFonts w:hint="eastAsia" w:ascii="宋体" w:hAnsi="宋体"/>
          <w:kern w:val="0"/>
          <w:sz w:val="24"/>
          <w:szCs w:val="24"/>
        </w:rPr>
        <w:t>乐清市粮食批发交易市场</w:t>
      </w:r>
    </w:p>
    <w:p w14:paraId="6E70431F">
      <w:pPr>
        <w:keepNext w:val="0"/>
        <w:keepLines w:val="0"/>
        <w:pageBreakBefore w:val="0"/>
        <w:kinsoku/>
        <w:wordWrap/>
        <w:overflowPunct/>
        <w:topLinePunct w:val="0"/>
        <w:autoSpaceDE/>
        <w:autoSpaceDN/>
        <w:bidi w:val="0"/>
        <w:adjustRightInd w:val="0"/>
        <w:snapToGrid w:val="0"/>
        <w:spacing w:line="350" w:lineRule="exact"/>
        <w:ind w:firstLine="480" w:firstLineChars="200"/>
        <w:jc w:val="right"/>
        <w:rPr>
          <w:rFonts w:hint="eastAsia" w:ascii="宋体" w:hAnsi="宋体" w:eastAsia="宋体" w:cs="Times New Roman"/>
          <w:kern w:val="0"/>
          <w:sz w:val="24"/>
          <w:szCs w:val="24"/>
        </w:rPr>
      </w:pPr>
      <w:r>
        <w:rPr>
          <w:rFonts w:hint="eastAsia" w:ascii="宋体" w:hAnsi="宋体" w:eastAsia="宋体" w:cs="Times New Roman"/>
          <w:kern w:val="0"/>
          <w:sz w:val="24"/>
          <w:szCs w:val="24"/>
        </w:rPr>
        <w:t>国家粮食浙江交易中心</w:t>
      </w:r>
    </w:p>
    <w:p w14:paraId="4A5BA12B">
      <w:pPr>
        <w:keepNext w:val="0"/>
        <w:keepLines w:val="0"/>
        <w:pageBreakBefore w:val="0"/>
        <w:kinsoku/>
        <w:wordWrap/>
        <w:overflowPunct/>
        <w:topLinePunct w:val="0"/>
        <w:autoSpaceDE/>
        <w:autoSpaceDN/>
        <w:bidi w:val="0"/>
        <w:adjustRightInd w:val="0"/>
        <w:snapToGrid w:val="0"/>
        <w:spacing w:line="350" w:lineRule="exact"/>
        <w:ind w:firstLine="480" w:firstLineChars="200"/>
        <w:jc w:val="right"/>
        <w:rPr>
          <w:rFonts w:hint="eastAsia" w:ascii="宋体" w:hAnsi="宋体" w:eastAsia="宋体" w:cs="Times New Roman"/>
          <w:kern w:val="0"/>
          <w:sz w:val="24"/>
          <w:szCs w:val="24"/>
        </w:rPr>
      </w:pPr>
      <w:r>
        <w:rPr>
          <w:rFonts w:hint="eastAsia" w:ascii="宋体" w:hAnsi="宋体" w:eastAsia="宋体" w:cs="Times New Roman"/>
          <w:kern w:val="0"/>
          <w:sz w:val="24"/>
          <w:szCs w:val="24"/>
        </w:rPr>
        <w:t>二〇二五年</w:t>
      </w:r>
      <w:r>
        <w:rPr>
          <w:rFonts w:hint="eastAsia" w:ascii="宋体" w:hAnsi="宋体" w:eastAsia="宋体" w:cs="Times New Roman"/>
          <w:kern w:val="0"/>
          <w:sz w:val="24"/>
          <w:szCs w:val="24"/>
          <w:lang w:val="en-US" w:eastAsia="zh-CN"/>
        </w:rPr>
        <w:t>十</w:t>
      </w:r>
      <w:r>
        <w:rPr>
          <w:rFonts w:hint="eastAsia" w:ascii="宋体" w:hAnsi="宋体" w:eastAsia="宋体" w:cs="Times New Roman"/>
          <w:kern w:val="0"/>
          <w:sz w:val="24"/>
          <w:szCs w:val="24"/>
        </w:rPr>
        <w:t>月</w:t>
      </w:r>
      <w:r>
        <w:rPr>
          <w:rFonts w:hint="eastAsia" w:ascii="宋体" w:hAnsi="宋体" w:eastAsia="宋体" w:cs="Times New Roman"/>
          <w:kern w:val="0"/>
          <w:sz w:val="24"/>
          <w:szCs w:val="24"/>
          <w:lang w:val="en-US" w:eastAsia="zh-CN"/>
        </w:rPr>
        <w:t>二十</w:t>
      </w:r>
      <w:r>
        <w:rPr>
          <w:rFonts w:hint="eastAsia" w:ascii="宋体" w:hAnsi="宋体" w:cs="Times New Roman"/>
          <w:kern w:val="0"/>
          <w:sz w:val="24"/>
          <w:szCs w:val="24"/>
          <w:lang w:val="en-US" w:eastAsia="zh-CN"/>
        </w:rPr>
        <w:t>九</w:t>
      </w:r>
      <w:r>
        <w:rPr>
          <w:rFonts w:hint="eastAsia" w:ascii="宋体" w:hAnsi="宋体" w:eastAsia="宋体" w:cs="Times New Roman"/>
          <w:kern w:val="0"/>
          <w:sz w:val="24"/>
          <w:szCs w:val="24"/>
        </w:rPr>
        <w:t>日</w:t>
      </w:r>
    </w:p>
    <w:p w14:paraId="63A4AF6B"/>
    <w:p w14:paraId="35F4825F">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25CEEBB3">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7D2096DC">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0CF316C9">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63937E74">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759D7D22">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603FCAC9">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47E56E58">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42DABC24">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285A1C7B">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753F569E">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42820EDC">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4C31EDA7">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643295E0">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6DE62468">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431F67B1">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6C5EDF87">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78002808">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67AC5B40">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2B0AED2F">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33A24853">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3D892562">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485A48D3">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1911E30C">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60AD3F20">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06B37EF6">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tbl>
      <w:tblPr>
        <w:tblStyle w:val="5"/>
        <w:tblW w:w="15303"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683"/>
        <w:gridCol w:w="1351"/>
        <w:gridCol w:w="928"/>
        <w:gridCol w:w="713"/>
        <w:gridCol w:w="653"/>
        <w:gridCol w:w="728"/>
        <w:gridCol w:w="594"/>
        <w:gridCol w:w="713"/>
        <w:gridCol w:w="653"/>
        <w:gridCol w:w="653"/>
        <w:gridCol w:w="594"/>
        <w:gridCol w:w="520"/>
        <w:gridCol w:w="549"/>
        <w:gridCol w:w="713"/>
        <w:gridCol w:w="787"/>
        <w:gridCol w:w="802"/>
        <w:gridCol w:w="772"/>
        <w:gridCol w:w="802"/>
        <w:gridCol w:w="921"/>
        <w:gridCol w:w="564"/>
        <w:gridCol w:w="610"/>
      </w:tblGrid>
      <w:tr w14:paraId="718868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blCellSpacing w:w="0" w:type="dxa"/>
          <w:jc w:val="center"/>
        </w:trPr>
        <w:tc>
          <w:tcPr>
            <w:tcW w:w="12240" w:type="dxa"/>
            <w:gridSpan w:val="21"/>
            <w:shd w:val="clear" w:color="auto" w:fill="auto"/>
            <w:vAlign w:val="center"/>
          </w:tcPr>
          <w:p w14:paraId="61C4D2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textAlignment w:val="center"/>
              <w:rPr>
                <w:color w:val="auto"/>
              </w:rPr>
            </w:pPr>
            <w:r>
              <w:rPr>
                <w:rFonts w:ascii="黑体" w:hAnsi="宋体" w:eastAsia="黑体" w:cs="黑体"/>
                <w:color w:val="auto"/>
                <w:kern w:val="0"/>
                <w:sz w:val="32"/>
                <w:szCs w:val="32"/>
                <w:lang w:val="en-US" w:eastAsia="zh-CN" w:bidi="ar"/>
              </w:rPr>
              <w:t>附件</w:t>
            </w:r>
            <w:r>
              <w:rPr>
                <w:rFonts w:hint="eastAsia" w:ascii="黑体" w:hAnsi="宋体" w:eastAsia="黑体" w:cs="黑体"/>
                <w:color w:val="auto"/>
                <w:kern w:val="0"/>
                <w:sz w:val="32"/>
                <w:szCs w:val="32"/>
                <w:lang w:val="en-US" w:eastAsia="zh-CN" w:bidi="ar"/>
              </w:rPr>
              <w:t>1</w:t>
            </w:r>
          </w:p>
          <w:p w14:paraId="441F2A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ascii="方正小标宋简体" w:hAnsi="方正小标宋简体" w:eastAsia="方正小标宋简体" w:cs="方正小标宋简体"/>
                <w:color w:val="auto"/>
                <w:kern w:val="0"/>
                <w:sz w:val="36"/>
                <w:szCs w:val="36"/>
                <w:lang w:val="en-US" w:eastAsia="zh-CN" w:bidi="ar"/>
              </w:rPr>
              <w:t>温州市粮食</w:t>
            </w:r>
            <w:r>
              <w:rPr>
                <w:rFonts w:hint="default" w:ascii="方正小标宋简体" w:hAnsi="方正小标宋简体" w:eastAsia="方正小标宋简体" w:cs="方正小标宋简体"/>
                <w:color w:val="auto"/>
                <w:kern w:val="0"/>
                <w:sz w:val="36"/>
                <w:szCs w:val="36"/>
                <w:lang w:val="en-US" w:eastAsia="zh-CN" w:bidi="ar"/>
              </w:rPr>
              <w:t>“五优联动”清单</w:t>
            </w:r>
          </w:p>
        </w:tc>
      </w:tr>
      <w:tr w14:paraId="7D431D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0" w:type="dxa"/>
          <w:jc w:val="center"/>
        </w:trPr>
        <w:tc>
          <w:tcPr>
            <w:tcW w:w="5064" w:type="dxa"/>
            <w:gridSpan w:val="8"/>
            <w:shd w:val="clear" w:color="auto" w:fill="auto"/>
            <w:vAlign w:val="center"/>
          </w:tcPr>
          <w:p w14:paraId="334C9E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4"/>
                <w:szCs w:val="24"/>
                <w:lang w:val="en-US" w:eastAsia="zh-CN" w:bidi="ar"/>
              </w:rPr>
              <w:t>单位名称：</w:t>
            </w:r>
          </w:p>
        </w:tc>
        <w:tc>
          <w:tcPr>
            <w:tcW w:w="528" w:type="dxa"/>
            <w:shd w:val="clear" w:color="auto" w:fill="auto"/>
            <w:vAlign w:val="center"/>
          </w:tcPr>
          <w:p w14:paraId="1C64F984">
            <w:pPr>
              <w:rPr>
                <w:rFonts w:hint="eastAsia" w:ascii="宋体"/>
                <w:color w:val="auto"/>
                <w:sz w:val="24"/>
                <w:szCs w:val="24"/>
              </w:rPr>
            </w:pPr>
          </w:p>
        </w:tc>
        <w:tc>
          <w:tcPr>
            <w:tcW w:w="528" w:type="dxa"/>
            <w:shd w:val="clear" w:color="auto" w:fill="auto"/>
            <w:vAlign w:val="center"/>
          </w:tcPr>
          <w:p w14:paraId="5AE97AB0">
            <w:pPr>
              <w:rPr>
                <w:rFonts w:hint="eastAsia" w:ascii="宋体"/>
                <w:color w:val="auto"/>
                <w:sz w:val="24"/>
                <w:szCs w:val="24"/>
              </w:rPr>
            </w:pPr>
          </w:p>
        </w:tc>
        <w:tc>
          <w:tcPr>
            <w:tcW w:w="480" w:type="dxa"/>
            <w:shd w:val="clear" w:color="auto" w:fill="auto"/>
            <w:vAlign w:val="center"/>
          </w:tcPr>
          <w:p w14:paraId="3A9454AA">
            <w:pPr>
              <w:rPr>
                <w:rFonts w:hint="eastAsia" w:ascii="宋体"/>
                <w:color w:val="auto"/>
                <w:sz w:val="24"/>
                <w:szCs w:val="24"/>
              </w:rPr>
            </w:pPr>
          </w:p>
        </w:tc>
        <w:tc>
          <w:tcPr>
            <w:tcW w:w="420" w:type="dxa"/>
            <w:shd w:val="clear" w:color="auto" w:fill="auto"/>
            <w:vAlign w:val="center"/>
          </w:tcPr>
          <w:p w14:paraId="626AB257">
            <w:pPr>
              <w:rPr>
                <w:rFonts w:hint="eastAsia" w:ascii="宋体"/>
                <w:color w:val="auto"/>
                <w:sz w:val="24"/>
                <w:szCs w:val="24"/>
              </w:rPr>
            </w:pPr>
          </w:p>
        </w:tc>
        <w:tc>
          <w:tcPr>
            <w:tcW w:w="432" w:type="dxa"/>
            <w:shd w:val="clear" w:color="auto" w:fill="auto"/>
            <w:vAlign w:val="center"/>
          </w:tcPr>
          <w:p w14:paraId="7416A2A6">
            <w:pPr>
              <w:rPr>
                <w:rFonts w:hint="eastAsia" w:ascii="宋体"/>
                <w:color w:val="auto"/>
                <w:sz w:val="24"/>
                <w:szCs w:val="24"/>
              </w:rPr>
            </w:pPr>
          </w:p>
        </w:tc>
        <w:tc>
          <w:tcPr>
            <w:tcW w:w="576" w:type="dxa"/>
            <w:shd w:val="clear" w:color="auto" w:fill="auto"/>
            <w:vAlign w:val="center"/>
          </w:tcPr>
          <w:p w14:paraId="79598919">
            <w:pPr>
              <w:rPr>
                <w:rFonts w:hint="eastAsia" w:ascii="宋体"/>
                <w:color w:val="auto"/>
                <w:sz w:val="24"/>
                <w:szCs w:val="24"/>
              </w:rPr>
            </w:pPr>
          </w:p>
        </w:tc>
        <w:tc>
          <w:tcPr>
            <w:tcW w:w="636" w:type="dxa"/>
            <w:shd w:val="clear" w:color="auto" w:fill="auto"/>
            <w:vAlign w:val="center"/>
          </w:tcPr>
          <w:p w14:paraId="57FA5C00">
            <w:pPr>
              <w:rPr>
                <w:rFonts w:hint="eastAsia" w:ascii="宋体"/>
                <w:color w:val="auto"/>
                <w:sz w:val="24"/>
                <w:szCs w:val="24"/>
              </w:rPr>
            </w:pPr>
          </w:p>
        </w:tc>
        <w:tc>
          <w:tcPr>
            <w:tcW w:w="648" w:type="dxa"/>
            <w:shd w:val="clear" w:color="auto" w:fill="auto"/>
            <w:vAlign w:val="center"/>
          </w:tcPr>
          <w:p w14:paraId="0F22F64E">
            <w:pPr>
              <w:rPr>
                <w:rFonts w:hint="eastAsia" w:ascii="宋体"/>
                <w:color w:val="auto"/>
                <w:sz w:val="24"/>
                <w:szCs w:val="24"/>
              </w:rPr>
            </w:pPr>
          </w:p>
        </w:tc>
        <w:tc>
          <w:tcPr>
            <w:tcW w:w="624" w:type="dxa"/>
            <w:shd w:val="clear" w:color="auto" w:fill="auto"/>
            <w:vAlign w:val="center"/>
          </w:tcPr>
          <w:p w14:paraId="31D51A58">
            <w:pPr>
              <w:rPr>
                <w:rFonts w:hint="eastAsia" w:ascii="宋体"/>
                <w:color w:val="auto"/>
                <w:sz w:val="24"/>
                <w:szCs w:val="24"/>
              </w:rPr>
            </w:pPr>
          </w:p>
        </w:tc>
        <w:tc>
          <w:tcPr>
            <w:tcW w:w="624" w:type="dxa"/>
            <w:shd w:val="clear" w:color="auto" w:fill="auto"/>
            <w:vAlign w:val="center"/>
          </w:tcPr>
          <w:p w14:paraId="4094E0A9">
            <w:pPr>
              <w:rPr>
                <w:rFonts w:hint="eastAsia" w:ascii="宋体"/>
                <w:color w:val="auto"/>
                <w:sz w:val="24"/>
                <w:szCs w:val="24"/>
              </w:rPr>
            </w:pPr>
          </w:p>
        </w:tc>
        <w:tc>
          <w:tcPr>
            <w:tcW w:w="744" w:type="dxa"/>
            <w:shd w:val="clear" w:color="auto" w:fill="auto"/>
            <w:vAlign w:val="center"/>
          </w:tcPr>
          <w:p w14:paraId="4B066D02">
            <w:pPr>
              <w:rPr>
                <w:rFonts w:hint="eastAsia" w:ascii="宋体"/>
                <w:color w:val="auto"/>
                <w:sz w:val="24"/>
                <w:szCs w:val="24"/>
              </w:rPr>
            </w:pPr>
          </w:p>
        </w:tc>
        <w:tc>
          <w:tcPr>
            <w:tcW w:w="444" w:type="dxa"/>
            <w:shd w:val="clear" w:color="auto" w:fill="auto"/>
            <w:vAlign w:val="center"/>
          </w:tcPr>
          <w:p w14:paraId="5E1C8A92">
            <w:pPr>
              <w:rPr>
                <w:rFonts w:hint="eastAsia" w:ascii="宋体"/>
                <w:color w:val="auto"/>
                <w:sz w:val="24"/>
                <w:szCs w:val="24"/>
              </w:rPr>
            </w:pPr>
          </w:p>
        </w:tc>
        <w:tc>
          <w:tcPr>
            <w:tcW w:w="420" w:type="dxa"/>
            <w:shd w:val="clear" w:color="auto" w:fill="auto"/>
            <w:vAlign w:val="center"/>
          </w:tcPr>
          <w:p w14:paraId="76DB6A3A">
            <w:pPr>
              <w:rPr>
                <w:rFonts w:hint="eastAsia" w:ascii="宋体"/>
                <w:color w:val="auto"/>
                <w:sz w:val="24"/>
                <w:szCs w:val="24"/>
              </w:rPr>
            </w:pPr>
          </w:p>
        </w:tc>
      </w:tr>
      <w:tr w14:paraId="021BC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0" w:type="dxa"/>
          <w:jc w:val="center"/>
        </w:trPr>
        <w:tc>
          <w:tcPr>
            <w:tcW w:w="4008" w:type="dxa"/>
            <w:gridSpan w:val="6"/>
            <w:shd w:val="clear" w:color="auto" w:fill="auto"/>
            <w:vAlign w:val="center"/>
          </w:tcPr>
          <w:p w14:paraId="35DEC5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生产主体信息</w:t>
            </w:r>
          </w:p>
        </w:tc>
        <w:tc>
          <w:tcPr>
            <w:tcW w:w="1584" w:type="dxa"/>
            <w:gridSpan w:val="3"/>
            <w:shd w:val="clear" w:color="auto" w:fill="auto"/>
            <w:vAlign w:val="center"/>
          </w:tcPr>
          <w:p w14:paraId="4B6E93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种子</w:t>
            </w:r>
          </w:p>
        </w:tc>
        <w:tc>
          <w:tcPr>
            <w:tcW w:w="1872" w:type="dxa"/>
            <w:gridSpan w:val="4"/>
            <w:shd w:val="clear" w:color="auto" w:fill="auto"/>
            <w:vAlign w:val="center"/>
          </w:tcPr>
          <w:p w14:paraId="0610A7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干燥</w:t>
            </w:r>
          </w:p>
        </w:tc>
        <w:tc>
          <w:tcPr>
            <w:tcW w:w="3132" w:type="dxa"/>
            <w:gridSpan w:val="5"/>
            <w:shd w:val="clear" w:color="auto" w:fill="auto"/>
            <w:vAlign w:val="center"/>
          </w:tcPr>
          <w:p w14:paraId="317F0D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收购</w:t>
            </w:r>
          </w:p>
        </w:tc>
        <w:tc>
          <w:tcPr>
            <w:tcW w:w="1200" w:type="dxa"/>
            <w:gridSpan w:val="2"/>
            <w:shd w:val="clear" w:color="auto" w:fill="auto"/>
            <w:vAlign w:val="center"/>
          </w:tcPr>
          <w:p w14:paraId="249AC4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储存</w:t>
            </w:r>
          </w:p>
        </w:tc>
        <w:tc>
          <w:tcPr>
            <w:tcW w:w="420" w:type="dxa"/>
            <w:vMerge w:val="restart"/>
            <w:shd w:val="clear" w:color="auto" w:fill="auto"/>
            <w:vAlign w:val="center"/>
          </w:tcPr>
          <w:p w14:paraId="619B9C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责任人</w:t>
            </w:r>
          </w:p>
        </w:tc>
      </w:tr>
      <w:tr w14:paraId="5C7C97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0" w:type="dxa"/>
          <w:jc w:val="center"/>
        </w:trPr>
        <w:tc>
          <w:tcPr>
            <w:tcW w:w="552" w:type="dxa"/>
            <w:vMerge w:val="restart"/>
            <w:shd w:val="clear" w:color="auto" w:fill="auto"/>
            <w:vAlign w:val="center"/>
          </w:tcPr>
          <w:p w14:paraId="40B352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序号</w:t>
            </w:r>
          </w:p>
        </w:tc>
        <w:tc>
          <w:tcPr>
            <w:tcW w:w="1080" w:type="dxa"/>
            <w:vMerge w:val="restart"/>
            <w:shd w:val="clear" w:color="auto" w:fill="auto"/>
            <w:vAlign w:val="center"/>
          </w:tcPr>
          <w:p w14:paraId="3ADAF1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生产者</w:t>
            </w:r>
          </w:p>
          <w:p w14:paraId="53948E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名称</w:t>
            </w:r>
          </w:p>
        </w:tc>
        <w:tc>
          <w:tcPr>
            <w:tcW w:w="672" w:type="dxa"/>
            <w:vMerge w:val="restart"/>
            <w:shd w:val="clear" w:color="auto" w:fill="auto"/>
            <w:vAlign w:val="center"/>
          </w:tcPr>
          <w:p w14:paraId="28858C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优质品种种植面积（亩）</w:t>
            </w:r>
          </w:p>
        </w:tc>
        <w:tc>
          <w:tcPr>
            <w:tcW w:w="576" w:type="dxa"/>
            <w:vMerge w:val="restart"/>
            <w:shd w:val="clear" w:color="auto" w:fill="auto"/>
            <w:vAlign w:val="center"/>
          </w:tcPr>
          <w:p w14:paraId="75897D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乡镇街道</w:t>
            </w:r>
          </w:p>
        </w:tc>
        <w:tc>
          <w:tcPr>
            <w:tcW w:w="1104" w:type="dxa"/>
            <w:gridSpan w:val="2"/>
            <w:shd w:val="clear" w:color="auto" w:fill="auto"/>
            <w:vAlign w:val="center"/>
          </w:tcPr>
          <w:p w14:paraId="251602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订单数量（吨）</w:t>
            </w:r>
          </w:p>
        </w:tc>
        <w:tc>
          <w:tcPr>
            <w:tcW w:w="480" w:type="dxa"/>
            <w:vMerge w:val="restart"/>
            <w:shd w:val="clear" w:color="auto" w:fill="auto"/>
            <w:vAlign w:val="center"/>
          </w:tcPr>
          <w:p w14:paraId="1B51F0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品种</w:t>
            </w:r>
          </w:p>
        </w:tc>
        <w:tc>
          <w:tcPr>
            <w:tcW w:w="564" w:type="dxa"/>
            <w:vMerge w:val="restart"/>
            <w:shd w:val="clear" w:color="auto" w:fill="auto"/>
            <w:vAlign w:val="center"/>
          </w:tcPr>
          <w:p w14:paraId="27A922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数量（公斤）</w:t>
            </w:r>
          </w:p>
        </w:tc>
        <w:tc>
          <w:tcPr>
            <w:tcW w:w="528" w:type="dxa"/>
            <w:vMerge w:val="restart"/>
            <w:shd w:val="clear" w:color="auto" w:fill="auto"/>
            <w:vAlign w:val="center"/>
          </w:tcPr>
          <w:p w14:paraId="186CC2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凭证号</w:t>
            </w:r>
          </w:p>
        </w:tc>
        <w:tc>
          <w:tcPr>
            <w:tcW w:w="528" w:type="dxa"/>
            <w:vMerge w:val="restart"/>
            <w:shd w:val="clear" w:color="auto" w:fill="auto"/>
            <w:vAlign w:val="center"/>
          </w:tcPr>
          <w:p w14:paraId="31DCAF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方式</w:t>
            </w:r>
            <w:r>
              <w:rPr>
                <w:rFonts w:hint="eastAsia" w:ascii="宋体" w:hAnsi="宋体" w:eastAsia="宋体" w:cs="宋体"/>
                <w:color w:val="auto"/>
                <w:kern w:val="0"/>
                <w:sz w:val="24"/>
                <w:szCs w:val="24"/>
                <w:lang w:val="en-US" w:eastAsia="zh-CN" w:bidi="ar"/>
              </w:rPr>
              <w:br w:type="textWrapping"/>
            </w:r>
            <w:r>
              <w:rPr>
                <w:rFonts w:hint="eastAsia" w:ascii="宋体" w:hAnsi="宋体" w:eastAsia="宋体" w:cs="宋体"/>
                <w:color w:val="auto"/>
                <w:kern w:val="0"/>
                <w:sz w:val="24"/>
                <w:szCs w:val="24"/>
                <w:lang w:val="en-US" w:eastAsia="zh-CN" w:bidi="ar"/>
              </w:rPr>
              <w:t>(日晒、烘干)</w:t>
            </w:r>
          </w:p>
        </w:tc>
        <w:tc>
          <w:tcPr>
            <w:tcW w:w="480" w:type="dxa"/>
            <w:vMerge w:val="restart"/>
            <w:shd w:val="clear" w:color="auto" w:fill="auto"/>
            <w:vAlign w:val="center"/>
          </w:tcPr>
          <w:p w14:paraId="72463A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烘干房名称</w:t>
            </w:r>
          </w:p>
        </w:tc>
        <w:tc>
          <w:tcPr>
            <w:tcW w:w="420" w:type="dxa"/>
            <w:vMerge w:val="restart"/>
            <w:shd w:val="clear" w:color="auto" w:fill="auto"/>
            <w:vAlign w:val="center"/>
          </w:tcPr>
          <w:p w14:paraId="3FD975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烘干温度</w:t>
            </w:r>
          </w:p>
        </w:tc>
        <w:tc>
          <w:tcPr>
            <w:tcW w:w="432" w:type="dxa"/>
            <w:vMerge w:val="restart"/>
            <w:shd w:val="clear" w:color="auto" w:fill="auto"/>
            <w:vAlign w:val="center"/>
          </w:tcPr>
          <w:p w14:paraId="5A6F41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地点</w:t>
            </w:r>
          </w:p>
        </w:tc>
        <w:tc>
          <w:tcPr>
            <w:tcW w:w="576" w:type="dxa"/>
            <w:vMerge w:val="restart"/>
            <w:shd w:val="clear" w:color="auto" w:fill="auto"/>
            <w:vAlign w:val="center"/>
          </w:tcPr>
          <w:p w14:paraId="5D4801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收购主体名称</w:t>
            </w:r>
          </w:p>
        </w:tc>
        <w:tc>
          <w:tcPr>
            <w:tcW w:w="636" w:type="dxa"/>
            <w:vMerge w:val="restart"/>
            <w:shd w:val="clear" w:color="auto" w:fill="auto"/>
            <w:vAlign w:val="center"/>
          </w:tcPr>
          <w:p w14:paraId="690DAC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单价（元/公斤）</w:t>
            </w:r>
          </w:p>
        </w:tc>
        <w:tc>
          <w:tcPr>
            <w:tcW w:w="648" w:type="dxa"/>
            <w:vMerge w:val="restart"/>
            <w:shd w:val="clear" w:color="auto" w:fill="auto"/>
            <w:vAlign w:val="center"/>
          </w:tcPr>
          <w:p w14:paraId="628159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其中优质加价(元/公斤)</w:t>
            </w:r>
          </w:p>
        </w:tc>
        <w:tc>
          <w:tcPr>
            <w:tcW w:w="624" w:type="dxa"/>
            <w:vMerge w:val="restart"/>
            <w:shd w:val="clear" w:color="auto" w:fill="auto"/>
            <w:vAlign w:val="center"/>
          </w:tcPr>
          <w:p w14:paraId="7422F9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数量(吨)</w:t>
            </w:r>
          </w:p>
        </w:tc>
        <w:tc>
          <w:tcPr>
            <w:tcW w:w="624" w:type="dxa"/>
            <w:vMerge w:val="restart"/>
            <w:shd w:val="clear" w:color="auto" w:fill="auto"/>
            <w:vAlign w:val="center"/>
          </w:tcPr>
          <w:p w14:paraId="2573DB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地点或库点仓号</w:t>
            </w:r>
          </w:p>
        </w:tc>
        <w:tc>
          <w:tcPr>
            <w:tcW w:w="744" w:type="dxa"/>
            <w:vMerge w:val="restart"/>
            <w:shd w:val="clear" w:color="auto" w:fill="auto"/>
            <w:vAlign w:val="center"/>
          </w:tcPr>
          <w:p w14:paraId="0C5BED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储存地点或库点仓号</w:t>
            </w:r>
          </w:p>
        </w:tc>
        <w:tc>
          <w:tcPr>
            <w:tcW w:w="444" w:type="dxa"/>
            <w:vMerge w:val="restart"/>
            <w:shd w:val="clear" w:color="auto" w:fill="auto"/>
            <w:vAlign w:val="center"/>
          </w:tcPr>
          <w:p w14:paraId="1CF19F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认定时间</w:t>
            </w:r>
          </w:p>
        </w:tc>
        <w:tc>
          <w:tcPr>
            <w:tcW w:w="420" w:type="dxa"/>
            <w:vMerge w:val="continue"/>
            <w:shd w:val="clear" w:color="auto" w:fill="auto"/>
            <w:vAlign w:val="center"/>
          </w:tcPr>
          <w:p w14:paraId="55D84A1C">
            <w:pPr>
              <w:rPr>
                <w:rFonts w:hint="eastAsia" w:ascii="宋体"/>
                <w:color w:val="auto"/>
                <w:sz w:val="24"/>
                <w:szCs w:val="24"/>
              </w:rPr>
            </w:pPr>
          </w:p>
        </w:tc>
      </w:tr>
      <w:tr w14:paraId="687859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0" w:type="dxa"/>
          <w:jc w:val="center"/>
        </w:trPr>
        <w:tc>
          <w:tcPr>
            <w:tcW w:w="552" w:type="dxa"/>
            <w:vMerge w:val="continue"/>
            <w:shd w:val="clear" w:color="auto" w:fill="auto"/>
            <w:vAlign w:val="center"/>
          </w:tcPr>
          <w:p w14:paraId="62B9CAF0">
            <w:pPr>
              <w:rPr>
                <w:rFonts w:hint="eastAsia" w:ascii="宋体"/>
                <w:color w:val="auto"/>
                <w:sz w:val="24"/>
                <w:szCs w:val="24"/>
              </w:rPr>
            </w:pPr>
          </w:p>
        </w:tc>
        <w:tc>
          <w:tcPr>
            <w:tcW w:w="1080" w:type="dxa"/>
            <w:vMerge w:val="continue"/>
            <w:shd w:val="clear" w:color="auto" w:fill="auto"/>
            <w:vAlign w:val="center"/>
          </w:tcPr>
          <w:p w14:paraId="6BE77FEF">
            <w:pPr>
              <w:rPr>
                <w:rFonts w:hint="eastAsia" w:ascii="宋体"/>
                <w:color w:val="auto"/>
                <w:sz w:val="24"/>
                <w:szCs w:val="24"/>
              </w:rPr>
            </w:pPr>
          </w:p>
        </w:tc>
        <w:tc>
          <w:tcPr>
            <w:tcW w:w="672" w:type="dxa"/>
            <w:vMerge w:val="continue"/>
            <w:shd w:val="clear" w:color="auto" w:fill="auto"/>
            <w:vAlign w:val="center"/>
          </w:tcPr>
          <w:p w14:paraId="7992E2DF">
            <w:pPr>
              <w:rPr>
                <w:rFonts w:hint="eastAsia" w:ascii="宋体"/>
                <w:color w:val="auto"/>
                <w:sz w:val="24"/>
                <w:szCs w:val="24"/>
              </w:rPr>
            </w:pPr>
          </w:p>
        </w:tc>
        <w:tc>
          <w:tcPr>
            <w:tcW w:w="576" w:type="dxa"/>
            <w:vMerge w:val="continue"/>
            <w:shd w:val="clear" w:color="auto" w:fill="auto"/>
            <w:vAlign w:val="center"/>
          </w:tcPr>
          <w:p w14:paraId="09294E7D">
            <w:pPr>
              <w:rPr>
                <w:rFonts w:hint="eastAsia" w:ascii="宋体"/>
                <w:color w:val="auto"/>
                <w:sz w:val="24"/>
                <w:szCs w:val="24"/>
              </w:rPr>
            </w:pPr>
          </w:p>
        </w:tc>
        <w:tc>
          <w:tcPr>
            <w:tcW w:w="528" w:type="dxa"/>
            <w:shd w:val="clear" w:color="auto" w:fill="auto"/>
            <w:vAlign w:val="center"/>
          </w:tcPr>
          <w:p w14:paraId="3A43ED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合作收储</w:t>
            </w:r>
          </w:p>
        </w:tc>
        <w:tc>
          <w:tcPr>
            <w:tcW w:w="576" w:type="dxa"/>
            <w:shd w:val="clear" w:color="auto" w:fill="auto"/>
            <w:vAlign w:val="center"/>
          </w:tcPr>
          <w:p w14:paraId="3AB158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市场收储</w:t>
            </w:r>
          </w:p>
        </w:tc>
        <w:tc>
          <w:tcPr>
            <w:tcW w:w="480" w:type="dxa"/>
            <w:vMerge w:val="continue"/>
            <w:shd w:val="clear" w:color="auto" w:fill="auto"/>
            <w:vAlign w:val="center"/>
          </w:tcPr>
          <w:p w14:paraId="02996F54">
            <w:pPr>
              <w:rPr>
                <w:rFonts w:hint="eastAsia" w:ascii="宋体"/>
                <w:color w:val="auto"/>
                <w:sz w:val="24"/>
                <w:szCs w:val="24"/>
              </w:rPr>
            </w:pPr>
          </w:p>
        </w:tc>
        <w:tc>
          <w:tcPr>
            <w:tcW w:w="564" w:type="dxa"/>
            <w:vMerge w:val="continue"/>
            <w:shd w:val="clear" w:color="auto" w:fill="auto"/>
            <w:vAlign w:val="center"/>
          </w:tcPr>
          <w:p w14:paraId="37BAA6E8">
            <w:pPr>
              <w:rPr>
                <w:rFonts w:hint="eastAsia" w:ascii="宋体"/>
                <w:color w:val="auto"/>
                <w:sz w:val="24"/>
                <w:szCs w:val="24"/>
              </w:rPr>
            </w:pPr>
          </w:p>
        </w:tc>
        <w:tc>
          <w:tcPr>
            <w:tcW w:w="528" w:type="dxa"/>
            <w:vMerge w:val="continue"/>
            <w:shd w:val="clear" w:color="auto" w:fill="auto"/>
            <w:vAlign w:val="center"/>
          </w:tcPr>
          <w:p w14:paraId="4F0D51AD">
            <w:pPr>
              <w:rPr>
                <w:rFonts w:hint="eastAsia" w:ascii="宋体"/>
                <w:color w:val="auto"/>
                <w:sz w:val="24"/>
                <w:szCs w:val="24"/>
              </w:rPr>
            </w:pPr>
          </w:p>
        </w:tc>
        <w:tc>
          <w:tcPr>
            <w:tcW w:w="528" w:type="dxa"/>
            <w:vMerge w:val="continue"/>
            <w:shd w:val="clear" w:color="auto" w:fill="auto"/>
            <w:vAlign w:val="center"/>
          </w:tcPr>
          <w:p w14:paraId="63A33614">
            <w:pPr>
              <w:rPr>
                <w:rFonts w:hint="eastAsia" w:ascii="宋体"/>
                <w:color w:val="auto"/>
                <w:sz w:val="24"/>
                <w:szCs w:val="24"/>
              </w:rPr>
            </w:pPr>
          </w:p>
        </w:tc>
        <w:tc>
          <w:tcPr>
            <w:tcW w:w="480" w:type="dxa"/>
            <w:vMerge w:val="continue"/>
            <w:shd w:val="clear" w:color="auto" w:fill="auto"/>
            <w:vAlign w:val="center"/>
          </w:tcPr>
          <w:p w14:paraId="6EA625B7">
            <w:pPr>
              <w:rPr>
                <w:rFonts w:hint="eastAsia" w:ascii="宋体"/>
                <w:color w:val="auto"/>
                <w:sz w:val="24"/>
                <w:szCs w:val="24"/>
              </w:rPr>
            </w:pPr>
          </w:p>
        </w:tc>
        <w:tc>
          <w:tcPr>
            <w:tcW w:w="420" w:type="dxa"/>
            <w:vMerge w:val="continue"/>
            <w:shd w:val="clear" w:color="auto" w:fill="auto"/>
            <w:vAlign w:val="center"/>
          </w:tcPr>
          <w:p w14:paraId="1B03F4E2">
            <w:pPr>
              <w:rPr>
                <w:rFonts w:hint="eastAsia" w:ascii="宋体"/>
                <w:color w:val="auto"/>
                <w:sz w:val="24"/>
                <w:szCs w:val="24"/>
              </w:rPr>
            </w:pPr>
          </w:p>
        </w:tc>
        <w:tc>
          <w:tcPr>
            <w:tcW w:w="432" w:type="dxa"/>
            <w:vMerge w:val="continue"/>
            <w:shd w:val="clear" w:color="auto" w:fill="auto"/>
            <w:vAlign w:val="center"/>
          </w:tcPr>
          <w:p w14:paraId="75CD417E">
            <w:pPr>
              <w:rPr>
                <w:rFonts w:hint="eastAsia" w:ascii="宋体"/>
                <w:color w:val="auto"/>
                <w:sz w:val="24"/>
                <w:szCs w:val="24"/>
              </w:rPr>
            </w:pPr>
          </w:p>
        </w:tc>
        <w:tc>
          <w:tcPr>
            <w:tcW w:w="576" w:type="dxa"/>
            <w:vMerge w:val="continue"/>
            <w:shd w:val="clear" w:color="auto" w:fill="auto"/>
            <w:vAlign w:val="center"/>
          </w:tcPr>
          <w:p w14:paraId="72AA3C6B">
            <w:pPr>
              <w:rPr>
                <w:rFonts w:hint="eastAsia" w:ascii="宋体"/>
                <w:color w:val="auto"/>
                <w:sz w:val="24"/>
                <w:szCs w:val="24"/>
              </w:rPr>
            </w:pPr>
          </w:p>
        </w:tc>
        <w:tc>
          <w:tcPr>
            <w:tcW w:w="636" w:type="dxa"/>
            <w:vMerge w:val="continue"/>
            <w:shd w:val="clear" w:color="auto" w:fill="auto"/>
            <w:vAlign w:val="center"/>
          </w:tcPr>
          <w:p w14:paraId="5E6829AC">
            <w:pPr>
              <w:rPr>
                <w:rFonts w:hint="eastAsia" w:ascii="宋体"/>
                <w:color w:val="auto"/>
                <w:sz w:val="24"/>
                <w:szCs w:val="24"/>
              </w:rPr>
            </w:pPr>
          </w:p>
        </w:tc>
        <w:tc>
          <w:tcPr>
            <w:tcW w:w="648" w:type="dxa"/>
            <w:vMerge w:val="continue"/>
            <w:shd w:val="clear" w:color="auto" w:fill="auto"/>
            <w:vAlign w:val="center"/>
          </w:tcPr>
          <w:p w14:paraId="36A8377F">
            <w:pPr>
              <w:rPr>
                <w:rFonts w:hint="eastAsia" w:ascii="宋体"/>
                <w:color w:val="auto"/>
                <w:sz w:val="24"/>
                <w:szCs w:val="24"/>
              </w:rPr>
            </w:pPr>
          </w:p>
        </w:tc>
        <w:tc>
          <w:tcPr>
            <w:tcW w:w="624" w:type="dxa"/>
            <w:vMerge w:val="continue"/>
            <w:shd w:val="clear" w:color="auto" w:fill="auto"/>
            <w:vAlign w:val="center"/>
          </w:tcPr>
          <w:p w14:paraId="201CCF44">
            <w:pPr>
              <w:rPr>
                <w:rFonts w:hint="eastAsia" w:ascii="宋体"/>
                <w:color w:val="auto"/>
                <w:sz w:val="24"/>
                <w:szCs w:val="24"/>
              </w:rPr>
            </w:pPr>
          </w:p>
        </w:tc>
        <w:tc>
          <w:tcPr>
            <w:tcW w:w="624" w:type="dxa"/>
            <w:vMerge w:val="continue"/>
            <w:shd w:val="clear" w:color="auto" w:fill="auto"/>
            <w:vAlign w:val="center"/>
          </w:tcPr>
          <w:p w14:paraId="616D838C">
            <w:pPr>
              <w:rPr>
                <w:rFonts w:hint="eastAsia" w:ascii="宋体"/>
                <w:color w:val="auto"/>
                <w:sz w:val="24"/>
                <w:szCs w:val="24"/>
              </w:rPr>
            </w:pPr>
          </w:p>
        </w:tc>
        <w:tc>
          <w:tcPr>
            <w:tcW w:w="744" w:type="dxa"/>
            <w:vMerge w:val="continue"/>
            <w:shd w:val="clear" w:color="auto" w:fill="auto"/>
            <w:vAlign w:val="center"/>
          </w:tcPr>
          <w:p w14:paraId="601FC225">
            <w:pPr>
              <w:rPr>
                <w:rFonts w:hint="eastAsia" w:ascii="宋体"/>
                <w:color w:val="auto"/>
                <w:sz w:val="24"/>
                <w:szCs w:val="24"/>
              </w:rPr>
            </w:pPr>
          </w:p>
        </w:tc>
        <w:tc>
          <w:tcPr>
            <w:tcW w:w="444" w:type="dxa"/>
            <w:vMerge w:val="continue"/>
            <w:shd w:val="clear" w:color="auto" w:fill="auto"/>
            <w:vAlign w:val="center"/>
          </w:tcPr>
          <w:p w14:paraId="467FF205">
            <w:pPr>
              <w:rPr>
                <w:rFonts w:hint="eastAsia" w:ascii="宋体"/>
                <w:color w:val="auto"/>
                <w:sz w:val="24"/>
                <w:szCs w:val="24"/>
              </w:rPr>
            </w:pPr>
          </w:p>
        </w:tc>
        <w:tc>
          <w:tcPr>
            <w:tcW w:w="420" w:type="dxa"/>
            <w:vMerge w:val="continue"/>
            <w:shd w:val="clear" w:color="auto" w:fill="auto"/>
            <w:vAlign w:val="center"/>
          </w:tcPr>
          <w:p w14:paraId="532AD8B0">
            <w:pPr>
              <w:rPr>
                <w:rFonts w:hint="eastAsia" w:ascii="宋体"/>
                <w:color w:val="auto"/>
                <w:sz w:val="24"/>
                <w:szCs w:val="24"/>
              </w:rPr>
            </w:pPr>
          </w:p>
        </w:tc>
      </w:tr>
      <w:tr w14:paraId="1C2401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0" w:type="dxa"/>
          <w:jc w:val="center"/>
        </w:trPr>
        <w:tc>
          <w:tcPr>
            <w:tcW w:w="552" w:type="dxa"/>
            <w:shd w:val="clear" w:color="auto" w:fill="auto"/>
            <w:vAlign w:val="center"/>
          </w:tcPr>
          <w:p w14:paraId="48AB17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4"/>
                <w:szCs w:val="24"/>
                <w:lang w:val="en-US" w:eastAsia="zh-CN" w:bidi="ar"/>
              </w:rPr>
              <w:t>1</w:t>
            </w:r>
          </w:p>
        </w:tc>
        <w:tc>
          <w:tcPr>
            <w:tcW w:w="1080" w:type="dxa"/>
            <w:shd w:val="clear" w:color="auto" w:fill="auto"/>
            <w:vAlign w:val="center"/>
          </w:tcPr>
          <w:p w14:paraId="652C9859">
            <w:pPr>
              <w:rPr>
                <w:rFonts w:hint="eastAsia" w:ascii="宋体"/>
                <w:color w:val="auto"/>
                <w:sz w:val="24"/>
                <w:szCs w:val="24"/>
              </w:rPr>
            </w:pPr>
          </w:p>
        </w:tc>
        <w:tc>
          <w:tcPr>
            <w:tcW w:w="672" w:type="dxa"/>
            <w:shd w:val="clear" w:color="auto" w:fill="auto"/>
            <w:vAlign w:val="center"/>
          </w:tcPr>
          <w:p w14:paraId="513FA6F5">
            <w:pPr>
              <w:rPr>
                <w:rFonts w:hint="eastAsia" w:ascii="宋体"/>
                <w:color w:val="auto"/>
                <w:sz w:val="24"/>
                <w:szCs w:val="24"/>
              </w:rPr>
            </w:pPr>
          </w:p>
        </w:tc>
        <w:tc>
          <w:tcPr>
            <w:tcW w:w="576" w:type="dxa"/>
            <w:shd w:val="clear" w:color="auto" w:fill="auto"/>
            <w:vAlign w:val="center"/>
          </w:tcPr>
          <w:p w14:paraId="17E91638">
            <w:pPr>
              <w:rPr>
                <w:rFonts w:hint="eastAsia" w:ascii="宋体"/>
                <w:color w:val="auto"/>
                <w:sz w:val="24"/>
                <w:szCs w:val="24"/>
              </w:rPr>
            </w:pPr>
          </w:p>
        </w:tc>
        <w:tc>
          <w:tcPr>
            <w:tcW w:w="528" w:type="dxa"/>
            <w:shd w:val="clear" w:color="auto" w:fill="auto"/>
            <w:vAlign w:val="center"/>
          </w:tcPr>
          <w:p w14:paraId="21CB2322">
            <w:pPr>
              <w:rPr>
                <w:rFonts w:hint="eastAsia" w:ascii="宋体"/>
                <w:color w:val="auto"/>
                <w:sz w:val="24"/>
                <w:szCs w:val="24"/>
              </w:rPr>
            </w:pPr>
          </w:p>
        </w:tc>
        <w:tc>
          <w:tcPr>
            <w:tcW w:w="576" w:type="dxa"/>
            <w:shd w:val="clear" w:color="auto" w:fill="auto"/>
            <w:vAlign w:val="center"/>
          </w:tcPr>
          <w:p w14:paraId="792932A0">
            <w:pPr>
              <w:rPr>
                <w:rFonts w:hint="eastAsia" w:ascii="宋体"/>
                <w:color w:val="auto"/>
                <w:sz w:val="24"/>
                <w:szCs w:val="24"/>
              </w:rPr>
            </w:pPr>
          </w:p>
        </w:tc>
        <w:tc>
          <w:tcPr>
            <w:tcW w:w="480" w:type="dxa"/>
            <w:shd w:val="clear" w:color="auto" w:fill="auto"/>
            <w:vAlign w:val="center"/>
          </w:tcPr>
          <w:p w14:paraId="791977E8">
            <w:pPr>
              <w:rPr>
                <w:rFonts w:hint="eastAsia" w:ascii="宋体"/>
                <w:color w:val="auto"/>
                <w:sz w:val="24"/>
                <w:szCs w:val="24"/>
              </w:rPr>
            </w:pPr>
          </w:p>
        </w:tc>
        <w:tc>
          <w:tcPr>
            <w:tcW w:w="564" w:type="dxa"/>
            <w:shd w:val="clear" w:color="auto" w:fill="auto"/>
            <w:vAlign w:val="center"/>
          </w:tcPr>
          <w:p w14:paraId="488102DA">
            <w:pPr>
              <w:rPr>
                <w:rFonts w:hint="eastAsia" w:ascii="宋体"/>
                <w:color w:val="auto"/>
                <w:sz w:val="24"/>
                <w:szCs w:val="24"/>
              </w:rPr>
            </w:pPr>
          </w:p>
        </w:tc>
        <w:tc>
          <w:tcPr>
            <w:tcW w:w="528" w:type="dxa"/>
            <w:shd w:val="clear" w:color="auto" w:fill="auto"/>
            <w:vAlign w:val="center"/>
          </w:tcPr>
          <w:p w14:paraId="2E22D5C7">
            <w:pPr>
              <w:rPr>
                <w:rFonts w:hint="eastAsia" w:ascii="宋体"/>
                <w:color w:val="auto"/>
                <w:sz w:val="24"/>
                <w:szCs w:val="24"/>
              </w:rPr>
            </w:pPr>
          </w:p>
        </w:tc>
        <w:tc>
          <w:tcPr>
            <w:tcW w:w="528" w:type="dxa"/>
            <w:shd w:val="clear" w:color="auto" w:fill="auto"/>
            <w:vAlign w:val="center"/>
          </w:tcPr>
          <w:p w14:paraId="66BDE81B">
            <w:pPr>
              <w:rPr>
                <w:rFonts w:hint="eastAsia" w:ascii="宋体"/>
                <w:color w:val="auto"/>
                <w:sz w:val="24"/>
                <w:szCs w:val="24"/>
              </w:rPr>
            </w:pPr>
          </w:p>
        </w:tc>
        <w:tc>
          <w:tcPr>
            <w:tcW w:w="480" w:type="dxa"/>
            <w:shd w:val="clear" w:color="auto" w:fill="auto"/>
            <w:vAlign w:val="center"/>
          </w:tcPr>
          <w:p w14:paraId="36A96CE0">
            <w:pPr>
              <w:rPr>
                <w:rFonts w:hint="eastAsia" w:ascii="宋体"/>
                <w:color w:val="auto"/>
                <w:sz w:val="24"/>
                <w:szCs w:val="24"/>
              </w:rPr>
            </w:pPr>
          </w:p>
        </w:tc>
        <w:tc>
          <w:tcPr>
            <w:tcW w:w="420" w:type="dxa"/>
            <w:shd w:val="clear" w:color="auto" w:fill="auto"/>
            <w:vAlign w:val="center"/>
          </w:tcPr>
          <w:p w14:paraId="3048C190">
            <w:pPr>
              <w:rPr>
                <w:rFonts w:hint="eastAsia" w:ascii="宋体"/>
                <w:color w:val="auto"/>
                <w:sz w:val="24"/>
                <w:szCs w:val="24"/>
              </w:rPr>
            </w:pPr>
          </w:p>
        </w:tc>
        <w:tc>
          <w:tcPr>
            <w:tcW w:w="432" w:type="dxa"/>
            <w:shd w:val="clear" w:color="auto" w:fill="auto"/>
            <w:vAlign w:val="center"/>
          </w:tcPr>
          <w:p w14:paraId="53B0FB0F">
            <w:pPr>
              <w:rPr>
                <w:rFonts w:hint="eastAsia" w:ascii="宋体"/>
                <w:color w:val="auto"/>
                <w:sz w:val="24"/>
                <w:szCs w:val="24"/>
              </w:rPr>
            </w:pPr>
          </w:p>
        </w:tc>
        <w:tc>
          <w:tcPr>
            <w:tcW w:w="576" w:type="dxa"/>
            <w:shd w:val="clear" w:color="auto" w:fill="auto"/>
            <w:vAlign w:val="center"/>
          </w:tcPr>
          <w:p w14:paraId="3540BFFC">
            <w:pPr>
              <w:rPr>
                <w:rFonts w:hint="eastAsia" w:ascii="宋体"/>
                <w:color w:val="auto"/>
                <w:sz w:val="24"/>
                <w:szCs w:val="24"/>
              </w:rPr>
            </w:pPr>
          </w:p>
        </w:tc>
        <w:tc>
          <w:tcPr>
            <w:tcW w:w="636" w:type="dxa"/>
            <w:shd w:val="clear" w:color="auto" w:fill="auto"/>
            <w:vAlign w:val="center"/>
          </w:tcPr>
          <w:p w14:paraId="419539B8">
            <w:pPr>
              <w:rPr>
                <w:rFonts w:hint="eastAsia" w:ascii="宋体"/>
                <w:color w:val="auto"/>
                <w:sz w:val="24"/>
                <w:szCs w:val="24"/>
              </w:rPr>
            </w:pPr>
          </w:p>
        </w:tc>
        <w:tc>
          <w:tcPr>
            <w:tcW w:w="648" w:type="dxa"/>
            <w:shd w:val="clear" w:color="auto" w:fill="auto"/>
            <w:vAlign w:val="center"/>
          </w:tcPr>
          <w:p w14:paraId="5885D3BD">
            <w:pPr>
              <w:rPr>
                <w:rFonts w:hint="eastAsia" w:ascii="宋体"/>
                <w:color w:val="auto"/>
                <w:sz w:val="24"/>
                <w:szCs w:val="24"/>
              </w:rPr>
            </w:pPr>
          </w:p>
        </w:tc>
        <w:tc>
          <w:tcPr>
            <w:tcW w:w="624" w:type="dxa"/>
            <w:shd w:val="clear" w:color="auto" w:fill="auto"/>
            <w:vAlign w:val="center"/>
          </w:tcPr>
          <w:p w14:paraId="16B44072">
            <w:pPr>
              <w:rPr>
                <w:rFonts w:hint="eastAsia" w:ascii="宋体"/>
                <w:color w:val="auto"/>
                <w:sz w:val="24"/>
                <w:szCs w:val="24"/>
              </w:rPr>
            </w:pPr>
          </w:p>
        </w:tc>
        <w:tc>
          <w:tcPr>
            <w:tcW w:w="624" w:type="dxa"/>
            <w:shd w:val="clear" w:color="auto" w:fill="auto"/>
            <w:vAlign w:val="center"/>
          </w:tcPr>
          <w:p w14:paraId="1CB785A3">
            <w:pPr>
              <w:rPr>
                <w:rFonts w:hint="eastAsia" w:ascii="宋体"/>
                <w:color w:val="auto"/>
                <w:sz w:val="24"/>
                <w:szCs w:val="24"/>
              </w:rPr>
            </w:pPr>
          </w:p>
        </w:tc>
        <w:tc>
          <w:tcPr>
            <w:tcW w:w="744" w:type="dxa"/>
            <w:shd w:val="clear" w:color="auto" w:fill="auto"/>
            <w:vAlign w:val="center"/>
          </w:tcPr>
          <w:p w14:paraId="442D22F1">
            <w:pPr>
              <w:rPr>
                <w:rFonts w:hint="eastAsia" w:ascii="宋体"/>
                <w:color w:val="auto"/>
                <w:sz w:val="24"/>
                <w:szCs w:val="24"/>
              </w:rPr>
            </w:pPr>
          </w:p>
        </w:tc>
        <w:tc>
          <w:tcPr>
            <w:tcW w:w="444" w:type="dxa"/>
            <w:shd w:val="clear" w:color="auto" w:fill="auto"/>
            <w:vAlign w:val="center"/>
          </w:tcPr>
          <w:p w14:paraId="45F191BE">
            <w:pPr>
              <w:rPr>
                <w:rFonts w:hint="eastAsia" w:ascii="宋体"/>
                <w:color w:val="auto"/>
                <w:sz w:val="24"/>
                <w:szCs w:val="24"/>
              </w:rPr>
            </w:pPr>
          </w:p>
        </w:tc>
        <w:tc>
          <w:tcPr>
            <w:tcW w:w="420" w:type="dxa"/>
            <w:shd w:val="clear" w:color="auto" w:fill="auto"/>
            <w:vAlign w:val="center"/>
          </w:tcPr>
          <w:p w14:paraId="7CFD9C43">
            <w:pPr>
              <w:rPr>
                <w:rFonts w:hint="eastAsia" w:ascii="宋体"/>
                <w:color w:val="auto"/>
                <w:sz w:val="24"/>
                <w:szCs w:val="24"/>
              </w:rPr>
            </w:pPr>
          </w:p>
        </w:tc>
      </w:tr>
      <w:tr w14:paraId="441673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0" w:type="dxa"/>
          <w:jc w:val="center"/>
        </w:trPr>
        <w:tc>
          <w:tcPr>
            <w:tcW w:w="552" w:type="dxa"/>
            <w:shd w:val="clear" w:color="auto" w:fill="auto"/>
            <w:vAlign w:val="center"/>
          </w:tcPr>
          <w:p w14:paraId="5B59DD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4"/>
                <w:szCs w:val="24"/>
                <w:lang w:val="en-US" w:eastAsia="zh-CN" w:bidi="ar"/>
              </w:rPr>
              <w:t>2</w:t>
            </w:r>
          </w:p>
        </w:tc>
        <w:tc>
          <w:tcPr>
            <w:tcW w:w="1080" w:type="dxa"/>
            <w:shd w:val="clear" w:color="auto" w:fill="auto"/>
            <w:vAlign w:val="center"/>
          </w:tcPr>
          <w:p w14:paraId="6F9EC05E">
            <w:pPr>
              <w:rPr>
                <w:rFonts w:hint="eastAsia" w:ascii="宋体"/>
                <w:color w:val="auto"/>
                <w:sz w:val="24"/>
                <w:szCs w:val="24"/>
              </w:rPr>
            </w:pPr>
          </w:p>
        </w:tc>
        <w:tc>
          <w:tcPr>
            <w:tcW w:w="672" w:type="dxa"/>
            <w:shd w:val="clear" w:color="auto" w:fill="auto"/>
            <w:vAlign w:val="center"/>
          </w:tcPr>
          <w:p w14:paraId="408E6102">
            <w:pPr>
              <w:rPr>
                <w:rFonts w:hint="eastAsia" w:ascii="宋体"/>
                <w:color w:val="auto"/>
                <w:sz w:val="24"/>
                <w:szCs w:val="24"/>
              </w:rPr>
            </w:pPr>
          </w:p>
        </w:tc>
        <w:tc>
          <w:tcPr>
            <w:tcW w:w="576" w:type="dxa"/>
            <w:shd w:val="clear" w:color="auto" w:fill="auto"/>
            <w:vAlign w:val="center"/>
          </w:tcPr>
          <w:p w14:paraId="0AFC43FB">
            <w:pPr>
              <w:rPr>
                <w:rFonts w:hint="eastAsia" w:ascii="宋体"/>
                <w:color w:val="auto"/>
                <w:sz w:val="24"/>
                <w:szCs w:val="24"/>
              </w:rPr>
            </w:pPr>
          </w:p>
        </w:tc>
        <w:tc>
          <w:tcPr>
            <w:tcW w:w="528" w:type="dxa"/>
            <w:shd w:val="clear" w:color="auto" w:fill="auto"/>
            <w:vAlign w:val="center"/>
          </w:tcPr>
          <w:p w14:paraId="4BBABDAC">
            <w:pPr>
              <w:rPr>
                <w:rFonts w:hint="eastAsia" w:ascii="宋体"/>
                <w:color w:val="auto"/>
                <w:sz w:val="24"/>
                <w:szCs w:val="24"/>
              </w:rPr>
            </w:pPr>
          </w:p>
        </w:tc>
        <w:tc>
          <w:tcPr>
            <w:tcW w:w="576" w:type="dxa"/>
            <w:shd w:val="clear" w:color="auto" w:fill="auto"/>
            <w:vAlign w:val="center"/>
          </w:tcPr>
          <w:p w14:paraId="28275011">
            <w:pPr>
              <w:rPr>
                <w:rFonts w:hint="eastAsia" w:ascii="宋体"/>
                <w:color w:val="auto"/>
                <w:sz w:val="24"/>
                <w:szCs w:val="24"/>
              </w:rPr>
            </w:pPr>
          </w:p>
        </w:tc>
        <w:tc>
          <w:tcPr>
            <w:tcW w:w="480" w:type="dxa"/>
            <w:shd w:val="clear" w:color="auto" w:fill="auto"/>
            <w:vAlign w:val="center"/>
          </w:tcPr>
          <w:p w14:paraId="57E98E0A">
            <w:pPr>
              <w:rPr>
                <w:rFonts w:hint="eastAsia" w:ascii="宋体"/>
                <w:color w:val="auto"/>
                <w:sz w:val="24"/>
                <w:szCs w:val="24"/>
              </w:rPr>
            </w:pPr>
          </w:p>
        </w:tc>
        <w:tc>
          <w:tcPr>
            <w:tcW w:w="564" w:type="dxa"/>
            <w:shd w:val="clear" w:color="auto" w:fill="auto"/>
            <w:vAlign w:val="center"/>
          </w:tcPr>
          <w:p w14:paraId="733223FA">
            <w:pPr>
              <w:rPr>
                <w:rFonts w:hint="eastAsia" w:ascii="宋体"/>
                <w:color w:val="auto"/>
                <w:sz w:val="24"/>
                <w:szCs w:val="24"/>
              </w:rPr>
            </w:pPr>
          </w:p>
        </w:tc>
        <w:tc>
          <w:tcPr>
            <w:tcW w:w="528" w:type="dxa"/>
            <w:shd w:val="clear" w:color="auto" w:fill="auto"/>
            <w:vAlign w:val="center"/>
          </w:tcPr>
          <w:p w14:paraId="1A0B667F">
            <w:pPr>
              <w:rPr>
                <w:rFonts w:hint="eastAsia" w:ascii="宋体"/>
                <w:color w:val="auto"/>
                <w:sz w:val="24"/>
                <w:szCs w:val="24"/>
              </w:rPr>
            </w:pPr>
          </w:p>
        </w:tc>
        <w:tc>
          <w:tcPr>
            <w:tcW w:w="528" w:type="dxa"/>
            <w:shd w:val="clear" w:color="auto" w:fill="auto"/>
            <w:vAlign w:val="center"/>
          </w:tcPr>
          <w:p w14:paraId="309F5013">
            <w:pPr>
              <w:rPr>
                <w:rFonts w:hint="eastAsia" w:ascii="宋体"/>
                <w:color w:val="auto"/>
                <w:sz w:val="24"/>
                <w:szCs w:val="24"/>
              </w:rPr>
            </w:pPr>
          </w:p>
        </w:tc>
        <w:tc>
          <w:tcPr>
            <w:tcW w:w="480" w:type="dxa"/>
            <w:shd w:val="clear" w:color="auto" w:fill="auto"/>
            <w:vAlign w:val="center"/>
          </w:tcPr>
          <w:p w14:paraId="03C392B3">
            <w:pPr>
              <w:rPr>
                <w:rFonts w:hint="eastAsia" w:ascii="宋体"/>
                <w:color w:val="auto"/>
                <w:sz w:val="24"/>
                <w:szCs w:val="24"/>
              </w:rPr>
            </w:pPr>
          </w:p>
        </w:tc>
        <w:tc>
          <w:tcPr>
            <w:tcW w:w="420" w:type="dxa"/>
            <w:shd w:val="clear" w:color="auto" w:fill="auto"/>
            <w:vAlign w:val="center"/>
          </w:tcPr>
          <w:p w14:paraId="4C9C3C6C">
            <w:pPr>
              <w:rPr>
                <w:rFonts w:hint="eastAsia" w:ascii="宋体"/>
                <w:color w:val="auto"/>
                <w:sz w:val="24"/>
                <w:szCs w:val="24"/>
              </w:rPr>
            </w:pPr>
          </w:p>
        </w:tc>
        <w:tc>
          <w:tcPr>
            <w:tcW w:w="432" w:type="dxa"/>
            <w:shd w:val="clear" w:color="auto" w:fill="auto"/>
            <w:vAlign w:val="center"/>
          </w:tcPr>
          <w:p w14:paraId="3A8852D4">
            <w:pPr>
              <w:rPr>
                <w:rFonts w:hint="eastAsia" w:ascii="宋体"/>
                <w:color w:val="auto"/>
                <w:sz w:val="24"/>
                <w:szCs w:val="24"/>
              </w:rPr>
            </w:pPr>
          </w:p>
        </w:tc>
        <w:tc>
          <w:tcPr>
            <w:tcW w:w="576" w:type="dxa"/>
            <w:shd w:val="clear" w:color="auto" w:fill="auto"/>
            <w:vAlign w:val="center"/>
          </w:tcPr>
          <w:p w14:paraId="6D75B6A2">
            <w:pPr>
              <w:rPr>
                <w:rFonts w:hint="eastAsia" w:ascii="宋体"/>
                <w:color w:val="auto"/>
                <w:sz w:val="24"/>
                <w:szCs w:val="24"/>
              </w:rPr>
            </w:pPr>
          </w:p>
        </w:tc>
        <w:tc>
          <w:tcPr>
            <w:tcW w:w="636" w:type="dxa"/>
            <w:shd w:val="clear" w:color="auto" w:fill="auto"/>
            <w:vAlign w:val="center"/>
          </w:tcPr>
          <w:p w14:paraId="393CCD8F">
            <w:pPr>
              <w:rPr>
                <w:rFonts w:hint="eastAsia" w:ascii="宋体"/>
                <w:color w:val="auto"/>
                <w:sz w:val="24"/>
                <w:szCs w:val="24"/>
              </w:rPr>
            </w:pPr>
          </w:p>
        </w:tc>
        <w:tc>
          <w:tcPr>
            <w:tcW w:w="648" w:type="dxa"/>
            <w:shd w:val="clear" w:color="auto" w:fill="auto"/>
            <w:vAlign w:val="center"/>
          </w:tcPr>
          <w:p w14:paraId="39C2B013">
            <w:pPr>
              <w:rPr>
                <w:rFonts w:hint="eastAsia" w:ascii="宋体"/>
                <w:color w:val="auto"/>
                <w:sz w:val="24"/>
                <w:szCs w:val="24"/>
              </w:rPr>
            </w:pPr>
          </w:p>
        </w:tc>
        <w:tc>
          <w:tcPr>
            <w:tcW w:w="624" w:type="dxa"/>
            <w:shd w:val="clear" w:color="auto" w:fill="auto"/>
            <w:vAlign w:val="center"/>
          </w:tcPr>
          <w:p w14:paraId="5ACC564F">
            <w:pPr>
              <w:rPr>
                <w:rFonts w:hint="eastAsia" w:ascii="宋体"/>
                <w:color w:val="auto"/>
                <w:sz w:val="24"/>
                <w:szCs w:val="24"/>
              </w:rPr>
            </w:pPr>
          </w:p>
        </w:tc>
        <w:tc>
          <w:tcPr>
            <w:tcW w:w="624" w:type="dxa"/>
            <w:shd w:val="clear" w:color="auto" w:fill="auto"/>
            <w:vAlign w:val="center"/>
          </w:tcPr>
          <w:p w14:paraId="7C4E869F">
            <w:pPr>
              <w:rPr>
                <w:rFonts w:hint="eastAsia" w:ascii="宋体"/>
                <w:color w:val="auto"/>
                <w:sz w:val="24"/>
                <w:szCs w:val="24"/>
              </w:rPr>
            </w:pPr>
          </w:p>
        </w:tc>
        <w:tc>
          <w:tcPr>
            <w:tcW w:w="744" w:type="dxa"/>
            <w:shd w:val="clear" w:color="auto" w:fill="auto"/>
            <w:vAlign w:val="center"/>
          </w:tcPr>
          <w:p w14:paraId="237C0D65">
            <w:pPr>
              <w:rPr>
                <w:rFonts w:hint="eastAsia" w:ascii="宋体"/>
                <w:color w:val="auto"/>
                <w:sz w:val="24"/>
                <w:szCs w:val="24"/>
              </w:rPr>
            </w:pPr>
          </w:p>
        </w:tc>
        <w:tc>
          <w:tcPr>
            <w:tcW w:w="444" w:type="dxa"/>
            <w:shd w:val="clear" w:color="auto" w:fill="auto"/>
            <w:vAlign w:val="center"/>
          </w:tcPr>
          <w:p w14:paraId="15CD20AD">
            <w:pPr>
              <w:rPr>
                <w:rFonts w:hint="eastAsia" w:ascii="宋体"/>
                <w:color w:val="auto"/>
                <w:sz w:val="24"/>
                <w:szCs w:val="24"/>
              </w:rPr>
            </w:pPr>
          </w:p>
        </w:tc>
        <w:tc>
          <w:tcPr>
            <w:tcW w:w="420" w:type="dxa"/>
            <w:shd w:val="clear" w:color="auto" w:fill="auto"/>
            <w:vAlign w:val="center"/>
          </w:tcPr>
          <w:p w14:paraId="3173FCCC">
            <w:pPr>
              <w:rPr>
                <w:rFonts w:hint="eastAsia" w:ascii="宋体"/>
                <w:color w:val="auto"/>
                <w:sz w:val="24"/>
                <w:szCs w:val="24"/>
              </w:rPr>
            </w:pPr>
          </w:p>
        </w:tc>
      </w:tr>
      <w:tr w14:paraId="1BC655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0" w:type="dxa"/>
          <w:jc w:val="center"/>
        </w:trPr>
        <w:tc>
          <w:tcPr>
            <w:tcW w:w="552" w:type="dxa"/>
            <w:shd w:val="clear" w:color="auto" w:fill="auto"/>
            <w:vAlign w:val="center"/>
          </w:tcPr>
          <w:p w14:paraId="631AFA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4"/>
                <w:szCs w:val="24"/>
                <w:lang w:val="en-US" w:eastAsia="zh-CN" w:bidi="ar"/>
              </w:rPr>
              <w:t>3</w:t>
            </w:r>
          </w:p>
        </w:tc>
        <w:tc>
          <w:tcPr>
            <w:tcW w:w="1080" w:type="dxa"/>
            <w:shd w:val="clear" w:color="auto" w:fill="auto"/>
            <w:vAlign w:val="center"/>
          </w:tcPr>
          <w:p w14:paraId="63EC60E2">
            <w:pPr>
              <w:rPr>
                <w:rFonts w:hint="eastAsia" w:ascii="宋体"/>
                <w:color w:val="auto"/>
                <w:sz w:val="24"/>
                <w:szCs w:val="24"/>
              </w:rPr>
            </w:pPr>
          </w:p>
        </w:tc>
        <w:tc>
          <w:tcPr>
            <w:tcW w:w="672" w:type="dxa"/>
            <w:shd w:val="clear" w:color="auto" w:fill="auto"/>
            <w:vAlign w:val="center"/>
          </w:tcPr>
          <w:p w14:paraId="4ED100A7">
            <w:pPr>
              <w:rPr>
                <w:rFonts w:hint="eastAsia" w:ascii="宋体"/>
                <w:color w:val="auto"/>
                <w:sz w:val="24"/>
                <w:szCs w:val="24"/>
              </w:rPr>
            </w:pPr>
          </w:p>
        </w:tc>
        <w:tc>
          <w:tcPr>
            <w:tcW w:w="576" w:type="dxa"/>
            <w:shd w:val="clear" w:color="auto" w:fill="auto"/>
            <w:vAlign w:val="center"/>
          </w:tcPr>
          <w:p w14:paraId="5B925540">
            <w:pPr>
              <w:rPr>
                <w:rFonts w:hint="eastAsia" w:ascii="宋体"/>
                <w:color w:val="auto"/>
                <w:sz w:val="24"/>
                <w:szCs w:val="24"/>
              </w:rPr>
            </w:pPr>
          </w:p>
        </w:tc>
        <w:tc>
          <w:tcPr>
            <w:tcW w:w="528" w:type="dxa"/>
            <w:shd w:val="clear" w:color="auto" w:fill="auto"/>
            <w:vAlign w:val="center"/>
          </w:tcPr>
          <w:p w14:paraId="68FA0B5E">
            <w:pPr>
              <w:rPr>
                <w:rFonts w:hint="eastAsia" w:ascii="宋体"/>
                <w:color w:val="auto"/>
                <w:sz w:val="24"/>
                <w:szCs w:val="24"/>
              </w:rPr>
            </w:pPr>
          </w:p>
        </w:tc>
        <w:tc>
          <w:tcPr>
            <w:tcW w:w="576" w:type="dxa"/>
            <w:shd w:val="clear" w:color="auto" w:fill="auto"/>
            <w:vAlign w:val="center"/>
          </w:tcPr>
          <w:p w14:paraId="0AD1B4E2">
            <w:pPr>
              <w:rPr>
                <w:rFonts w:hint="eastAsia" w:ascii="宋体"/>
                <w:color w:val="auto"/>
                <w:sz w:val="24"/>
                <w:szCs w:val="24"/>
              </w:rPr>
            </w:pPr>
          </w:p>
        </w:tc>
        <w:tc>
          <w:tcPr>
            <w:tcW w:w="480" w:type="dxa"/>
            <w:shd w:val="clear" w:color="auto" w:fill="auto"/>
            <w:vAlign w:val="center"/>
          </w:tcPr>
          <w:p w14:paraId="1B994683">
            <w:pPr>
              <w:rPr>
                <w:rFonts w:hint="eastAsia" w:ascii="宋体"/>
                <w:color w:val="auto"/>
                <w:sz w:val="24"/>
                <w:szCs w:val="24"/>
              </w:rPr>
            </w:pPr>
          </w:p>
        </w:tc>
        <w:tc>
          <w:tcPr>
            <w:tcW w:w="564" w:type="dxa"/>
            <w:shd w:val="clear" w:color="auto" w:fill="auto"/>
            <w:vAlign w:val="center"/>
          </w:tcPr>
          <w:p w14:paraId="5766DBA9">
            <w:pPr>
              <w:rPr>
                <w:rFonts w:hint="eastAsia" w:ascii="宋体"/>
                <w:color w:val="auto"/>
                <w:sz w:val="24"/>
                <w:szCs w:val="24"/>
              </w:rPr>
            </w:pPr>
          </w:p>
        </w:tc>
        <w:tc>
          <w:tcPr>
            <w:tcW w:w="528" w:type="dxa"/>
            <w:shd w:val="clear" w:color="auto" w:fill="auto"/>
            <w:vAlign w:val="center"/>
          </w:tcPr>
          <w:p w14:paraId="19C16D26">
            <w:pPr>
              <w:rPr>
                <w:rFonts w:hint="eastAsia" w:ascii="宋体"/>
                <w:color w:val="auto"/>
                <w:sz w:val="24"/>
                <w:szCs w:val="24"/>
              </w:rPr>
            </w:pPr>
          </w:p>
        </w:tc>
        <w:tc>
          <w:tcPr>
            <w:tcW w:w="528" w:type="dxa"/>
            <w:shd w:val="clear" w:color="auto" w:fill="auto"/>
            <w:vAlign w:val="center"/>
          </w:tcPr>
          <w:p w14:paraId="332846D0">
            <w:pPr>
              <w:rPr>
                <w:rFonts w:hint="eastAsia" w:ascii="宋体"/>
                <w:color w:val="auto"/>
                <w:sz w:val="24"/>
                <w:szCs w:val="24"/>
              </w:rPr>
            </w:pPr>
          </w:p>
        </w:tc>
        <w:tc>
          <w:tcPr>
            <w:tcW w:w="480" w:type="dxa"/>
            <w:shd w:val="clear" w:color="auto" w:fill="auto"/>
            <w:vAlign w:val="center"/>
          </w:tcPr>
          <w:p w14:paraId="4198CF66">
            <w:pPr>
              <w:rPr>
                <w:rFonts w:hint="eastAsia" w:ascii="宋体"/>
                <w:color w:val="auto"/>
                <w:sz w:val="24"/>
                <w:szCs w:val="24"/>
              </w:rPr>
            </w:pPr>
          </w:p>
        </w:tc>
        <w:tc>
          <w:tcPr>
            <w:tcW w:w="420" w:type="dxa"/>
            <w:shd w:val="clear" w:color="auto" w:fill="auto"/>
            <w:vAlign w:val="center"/>
          </w:tcPr>
          <w:p w14:paraId="2718C769">
            <w:pPr>
              <w:rPr>
                <w:rFonts w:hint="eastAsia" w:ascii="宋体"/>
                <w:color w:val="auto"/>
                <w:sz w:val="24"/>
                <w:szCs w:val="24"/>
              </w:rPr>
            </w:pPr>
          </w:p>
        </w:tc>
        <w:tc>
          <w:tcPr>
            <w:tcW w:w="432" w:type="dxa"/>
            <w:shd w:val="clear" w:color="auto" w:fill="auto"/>
            <w:vAlign w:val="center"/>
          </w:tcPr>
          <w:p w14:paraId="17A9CBDF">
            <w:pPr>
              <w:rPr>
                <w:rFonts w:hint="eastAsia" w:ascii="宋体"/>
                <w:color w:val="auto"/>
                <w:sz w:val="24"/>
                <w:szCs w:val="24"/>
              </w:rPr>
            </w:pPr>
          </w:p>
        </w:tc>
        <w:tc>
          <w:tcPr>
            <w:tcW w:w="576" w:type="dxa"/>
            <w:shd w:val="clear" w:color="auto" w:fill="auto"/>
            <w:vAlign w:val="center"/>
          </w:tcPr>
          <w:p w14:paraId="1DF85778">
            <w:pPr>
              <w:rPr>
                <w:rFonts w:hint="eastAsia" w:ascii="宋体"/>
                <w:color w:val="auto"/>
                <w:sz w:val="24"/>
                <w:szCs w:val="24"/>
              </w:rPr>
            </w:pPr>
          </w:p>
        </w:tc>
        <w:tc>
          <w:tcPr>
            <w:tcW w:w="636" w:type="dxa"/>
            <w:shd w:val="clear" w:color="auto" w:fill="auto"/>
            <w:vAlign w:val="center"/>
          </w:tcPr>
          <w:p w14:paraId="3A910DF2">
            <w:pPr>
              <w:rPr>
                <w:rFonts w:hint="eastAsia" w:ascii="宋体"/>
                <w:color w:val="auto"/>
                <w:sz w:val="24"/>
                <w:szCs w:val="24"/>
              </w:rPr>
            </w:pPr>
          </w:p>
        </w:tc>
        <w:tc>
          <w:tcPr>
            <w:tcW w:w="648" w:type="dxa"/>
            <w:shd w:val="clear" w:color="auto" w:fill="auto"/>
            <w:vAlign w:val="center"/>
          </w:tcPr>
          <w:p w14:paraId="3D881B2B">
            <w:pPr>
              <w:rPr>
                <w:rFonts w:hint="eastAsia" w:ascii="宋体"/>
                <w:color w:val="auto"/>
                <w:sz w:val="24"/>
                <w:szCs w:val="24"/>
              </w:rPr>
            </w:pPr>
          </w:p>
        </w:tc>
        <w:tc>
          <w:tcPr>
            <w:tcW w:w="624" w:type="dxa"/>
            <w:shd w:val="clear" w:color="auto" w:fill="auto"/>
            <w:vAlign w:val="center"/>
          </w:tcPr>
          <w:p w14:paraId="22B02550">
            <w:pPr>
              <w:rPr>
                <w:rFonts w:hint="eastAsia" w:ascii="宋体"/>
                <w:color w:val="auto"/>
                <w:sz w:val="24"/>
                <w:szCs w:val="24"/>
              </w:rPr>
            </w:pPr>
          </w:p>
        </w:tc>
        <w:tc>
          <w:tcPr>
            <w:tcW w:w="624" w:type="dxa"/>
            <w:shd w:val="clear" w:color="auto" w:fill="auto"/>
            <w:vAlign w:val="center"/>
          </w:tcPr>
          <w:p w14:paraId="0FC23A5D">
            <w:pPr>
              <w:rPr>
                <w:rFonts w:hint="eastAsia" w:ascii="宋体"/>
                <w:color w:val="auto"/>
                <w:sz w:val="24"/>
                <w:szCs w:val="24"/>
              </w:rPr>
            </w:pPr>
          </w:p>
        </w:tc>
        <w:tc>
          <w:tcPr>
            <w:tcW w:w="744" w:type="dxa"/>
            <w:shd w:val="clear" w:color="auto" w:fill="auto"/>
            <w:vAlign w:val="center"/>
          </w:tcPr>
          <w:p w14:paraId="7E1C36C4">
            <w:pPr>
              <w:rPr>
                <w:rFonts w:hint="eastAsia" w:ascii="宋体"/>
                <w:color w:val="auto"/>
                <w:sz w:val="24"/>
                <w:szCs w:val="24"/>
              </w:rPr>
            </w:pPr>
          </w:p>
        </w:tc>
        <w:tc>
          <w:tcPr>
            <w:tcW w:w="444" w:type="dxa"/>
            <w:shd w:val="clear" w:color="auto" w:fill="auto"/>
            <w:vAlign w:val="center"/>
          </w:tcPr>
          <w:p w14:paraId="58FB9114">
            <w:pPr>
              <w:rPr>
                <w:rFonts w:hint="eastAsia" w:ascii="宋体"/>
                <w:color w:val="auto"/>
                <w:sz w:val="24"/>
                <w:szCs w:val="24"/>
              </w:rPr>
            </w:pPr>
          </w:p>
        </w:tc>
        <w:tc>
          <w:tcPr>
            <w:tcW w:w="420" w:type="dxa"/>
            <w:shd w:val="clear" w:color="auto" w:fill="auto"/>
            <w:vAlign w:val="center"/>
          </w:tcPr>
          <w:p w14:paraId="59DBF5D0">
            <w:pPr>
              <w:rPr>
                <w:rFonts w:hint="eastAsia" w:ascii="宋体"/>
                <w:color w:val="auto"/>
                <w:sz w:val="24"/>
                <w:szCs w:val="24"/>
              </w:rPr>
            </w:pPr>
          </w:p>
        </w:tc>
      </w:tr>
      <w:tr w14:paraId="3FFD8C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0" w:type="dxa"/>
          <w:jc w:val="center"/>
        </w:trPr>
        <w:tc>
          <w:tcPr>
            <w:tcW w:w="552" w:type="dxa"/>
            <w:shd w:val="clear" w:color="auto" w:fill="auto"/>
            <w:vAlign w:val="center"/>
          </w:tcPr>
          <w:p w14:paraId="0EFC28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4"/>
                <w:szCs w:val="24"/>
                <w:lang w:val="en-US" w:eastAsia="zh-CN" w:bidi="ar"/>
              </w:rPr>
              <w:t>..</w:t>
            </w:r>
          </w:p>
        </w:tc>
        <w:tc>
          <w:tcPr>
            <w:tcW w:w="1080" w:type="dxa"/>
            <w:shd w:val="clear" w:color="auto" w:fill="auto"/>
            <w:vAlign w:val="center"/>
          </w:tcPr>
          <w:p w14:paraId="3946477F">
            <w:pPr>
              <w:rPr>
                <w:rFonts w:hint="eastAsia" w:ascii="宋体"/>
                <w:color w:val="auto"/>
                <w:sz w:val="24"/>
                <w:szCs w:val="24"/>
              </w:rPr>
            </w:pPr>
          </w:p>
        </w:tc>
        <w:tc>
          <w:tcPr>
            <w:tcW w:w="672" w:type="dxa"/>
            <w:shd w:val="clear" w:color="auto" w:fill="auto"/>
            <w:vAlign w:val="center"/>
          </w:tcPr>
          <w:p w14:paraId="4B540C1E">
            <w:pPr>
              <w:rPr>
                <w:rFonts w:hint="eastAsia" w:ascii="宋体"/>
                <w:color w:val="auto"/>
                <w:sz w:val="24"/>
                <w:szCs w:val="24"/>
              </w:rPr>
            </w:pPr>
          </w:p>
        </w:tc>
        <w:tc>
          <w:tcPr>
            <w:tcW w:w="576" w:type="dxa"/>
            <w:shd w:val="clear" w:color="auto" w:fill="auto"/>
            <w:vAlign w:val="center"/>
          </w:tcPr>
          <w:p w14:paraId="3177C664">
            <w:pPr>
              <w:rPr>
                <w:rFonts w:hint="eastAsia" w:ascii="宋体"/>
                <w:color w:val="auto"/>
                <w:sz w:val="24"/>
                <w:szCs w:val="24"/>
              </w:rPr>
            </w:pPr>
          </w:p>
        </w:tc>
        <w:tc>
          <w:tcPr>
            <w:tcW w:w="528" w:type="dxa"/>
            <w:shd w:val="clear" w:color="auto" w:fill="auto"/>
            <w:vAlign w:val="center"/>
          </w:tcPr>
          <w:p w14:paraId="5BBC5B78">
            <w:pPr>
              <w:rPr>
                <w:rFonts w:hint="eastAsia" w:ascii="宋体"/>
                <w:color w:val="auto"/>
                <w:sz w:val="24"/>
                <w:szCs w:val="24"/>
              </w:rPr>
            </w:pPr>
          </w:p>
        </w:tc>
        <w:tc>
          <w:tcPr>
            <w:tcW w:w="576" w:type="dxa"/>
            <w:shd w:val="clear" w:color="auto" w:fill="auto"/>
            <w:vAlign w:val="center"/>
          </w:tcPr>
          <w:p w14:paraId="6E3937D9">
            <w:pPr>
              <w:rPr>
                <w:rFonts w:hint="eastAsia" w:ascii="宋体"/>
                <w:color w:val="auto"/>
                <w:sz w:val="24"/>
                <w:szCs w:val="24"/>
              </w:rPr>
            </w:pPr>
          </w:p>
        </w:tc>
        <w:tc>
          <w:tcPr>
            <w:tcW w:w="480" w:type="dxa"/>
            <w:shd w:val="clear" w:color="auto" w:fill="auto"/>
            <w:vAlign w:val="center"/>
          </w:tcPr>
          <w:p w14:paraId="5E4C5CD3">
            <w:pPr>
              <w:rPr>
                <w:rFonts w:hint="eastAsia" w:ascii="宋体"/>
                <w:color w:val="auto"/>
                <w:sz w:val="24"/>
                <w:szCs w:val="24"/>
              </w:rPr>
            </w:pPr>
          </w:p>
        </w:tc>
        <w:tc>
          <w:tcPr>
            <w:tcW w:w="564" w:type="dxa"/>
            <w:shd w:val="clear" w:color="auto" w:fill="auto"/>
            <w:vAlign w:val="center"/>
          </w:tcPr>
          <w:p w14:paraId="7A991E7D">
            <w:pPr>
              <w:rPr>
                <w:rFonts w:hint="eastAsia" w:ascii="宋体"/>
                <w:color w:val="auto"/>
                <w:sz w:val="24"/>
                <w:szCs w:val="24"/>
              </w:rPr>
            </w:pPr>
          </w:p>
        </w:tc>
        <w:tc>
          <w:tcPr>
            <w:tcW w:w="528" w:type="dxa"/>
            <w:shd w:val="clear" w:color="auto" w:fill="auto"/>
            <w:vAlign w:val="center"/>
          </w:tcPr>
          <w:p w14:paraId="4AFCA26F">
            <w:pPr>
              <w:rPr>
                <w:rFonts w:hint="eastAsia" w:ascii="宋体"/>
                <w:color w:val="auto"/>
                <w:sz w:val="24"/>
                <w:szCs w:val="24"/>
              </w:rPr>
            </w:pPr>
          </w:p>
        </w:tc>
        <w:tc>
          <w:tcPr>
            <w:tcW w:w="528" w:type="dxa"/>
            <w:shd w:val="clear" w:color="auto" w:fill="auto"/>
            <w:vAlign w:val="center"/>
          </w:tcPr>
          <w:p w14:paraId="51523DF0">
            <w:pPr>
              <w:rPr>
                <w:rFonts w:hint="eastAsia" w:ascii="宋体"/>
                <w:color w:val="auto"/>
                <w:sz w:val="24"/>
                <w:szCs w:val="24"/>
              </w:rPr>
            </w:pPr>
          </w:p>
        </w:tc>
        <w:tc>
          <w:tcPr>
            <w:tcW w:w="480" w:type="dxa"/>
            <w:shd w:val="clear" w:color="auto" w:fill="auto"/>
            <w:vAlign w:val="center"/>
          </w:tcPr>
          <w:p w14:paraId="36127B72">
            <w:pPr>
              <w:rPr>
                <w:rFonts w:hint="eastAsia" w:ascii="宋体"/>
                <w:color w:val="auto"/>
                <w:sz w:val="24"/>
                <w:szCs w:val="24"/>
              </w:rPr>
            </w:pPr>
          </w:p>
        </w:tc>
        <w:tc>
          <w:tcPr>
            <w:tcW w:w="420" w:type="dxa"/>
            <w:shd w:val="clear" w:color="auto" w:fill="auto"/>
            <w:vAlign w:val="center"/>
          </w:tcPr>
          <w:p w14:paraId="628B75A7">
            <w:pPr>
              <w:rPr>
                <w:rFonts w:hint="eastAsia" w:ascii="宋体"/>
                <w:color w:val="auto"/>
                <w:sz w:val="24"/>
                <w:szCs w:val="24"/>
              </w:rPr>
            </w:pPr>
          </w:p>
        </w:tc>
        <w:tc>
          <w:tcPr>
            <w:tcW w:w="432" w:type="dxa"/>
            <w:shd w:val="clear" w:color="auto" w:fill="auto"/>
            <w:vAlign w:val="center"/>
          </w:tcPr>
          <w:p w14:paraId="6FFF3730">
            <w:pPr>
              <w:rPr>
                <w:rFonts w:hint="eastAsia" w:ascii="宋体"/>
                <w:color w:val="auto"/>
                <w:sz w:val="24"/>
                <w:szCs w:val="24"/>
              </w:rPr>
            </w:pPr>
          </w:p>
        </w:tc>
        <w:tc>
          <w:tcPr>
            <w:tcW w:w="576" w:type="dxa"/>
            <w:shd w:val="clear" w:color="auto" w:fill="auto"/>
            <w:vAlign w:val="center"/>
          </w:tcPr>
          <w:p w14:paraId="2CA2805F">
            <w:pPr>
              <w:rPr>
                <w:rFonts w:hint="eastAsia" w:ascii="宋体"/>
                <w:color w:val="auto"/>
                <w:sz w:val="24"/>
                <w:szCs w:val="24"/>
              </w:rPr>
            </w:pPr>
          </w:p>
        </w:tc>
        <w:tc>
          <w:tcPr>
            <w:tcW w:w="636" w:type="dxa"/>
            <w:shd w:val="clear" w:color="auto" w:fill="auto"/>
            <w:vAlign w:val="center"/>
          </w:tcPr>
          <w:p w14:paraId="0D38F638">
            <w:pPr>
              <w:rPr>
                <w:rFonts w:hint="eastAsia" w:ascii="宋体"/>
                <w:color w:val="auto"/>
                <w:sz w:val="24"/>
                <w:szCs w:val="24"/>
              </w:rPr>
            </w:pPr>
          </w:p>
        </w:tc>
        <w:tc>
          <w:tcPr>
            <w:tcW w:w="648" w:type="dxa"/>
            <w:shd w:val="clear" w:color="auto" w:fill="auto"/>
            <w:vAlign w:val="center"/>
          </w:tcPr>
          <w:p w14:paraId="56863A53">
            <w:pPr>
              <w:rPr>
                <w:rFonts w:hint="eastAsia" w:ascii="宋体"/>
                <w:color w:val="auto"/>
                <w:sz w:val="24"/>
                <w:szCs w:val="24"/>
              </w:rPr>
            </w:pPr>
          </w:p>
        </w:tc>
        <w:tc>
          <w:tcPr>
            <w:tcW w:w="624" w:type="dxa"/>
            <w:shd w:val="clear" w:color="auto" w:fill="auto"/>
            <w:vAlign w:val="center"/>
          </w:tcPr>
          <w:p w14:paraId="3D82034B">
            <w:pPr>
              <w:rPr>
                <w:rFonts w:hint="eastAsia" w:ascii="宋体"/>
                <w:color w:val="auto"/>
                <w:sz w:val="24"/>
                <w:szCs w:val="24"/>
              </w:rPr>
            </w:pPr>
          </w:p>
        </w:tc>
        <w:tc>
          <w:tcPr>
            <w:tcW w:w="624" w:type="dxa"/>
            <w:shd w:val="clear" w:color="auto" w:fill="auto"/>
            <w:vAlign w:val="center"/>
          </w:tcPr>
          <w:p w14:paraId="15503A0D">
            <w:pPr>
              <w:rPr>
                <w:rFonts w:hint="eastAsia" w:ascii="宋体"/>
                <w:color w:val="auto"/>
                <w:sz w:val="24"/>
                <w:szCs w:val="24"/>
              </w:rPr>
            </w:pPr>
          </w:p>
        </w:tc>
        <w:tc>
          <w:tcPr>
            <w:tcW w:w="744" w:type="dxa"/>
            <w:shd w:val="clear" w:color="auto" w:fill="auto"/>
            <w:vAlign w:val="center"/>
          </w:tcPr>
          <w:p w14:paraId="3B61BA52">
            <w:pPr>
              <w:rPr>
                <w:rFonts w:hint="eastAsia" w:ascii="宋体"/>
                <w:color w:val="auto"/>
                <w:sz w:val="24"/>
                <w:szCs w:val="24"/>
              </w:rPr>
            </w:pPr>
          </w:p>
        </w:tc>
        <w:tc>
          <w:tcPr>
            <w:tcW w:w="444" w:type="dxa"/>
            <w:shd w:val="clear" w:color="auto" w:fill="auto"/>
            <w:vAlign w:val="center"/>
          </w:tcPr>
          <w:p w14:paraId="4AD40DA9">
            <w:pPr>
              <w:rPr>
                <w:rFonts w:hint="eastAsia" w:ascii="宋体"/>
                <w:color w:val="auto"/>
                <w:sz w:val="24"/>
                <w:szCs w:val="24"/>
              </w:rPr>
            </w:pPr>
          </w:p>
        </w:tc>
        <w:tc>
          <w:tcPr>
            <w:tcW w:w="420" w:type="dxa"/>
            <w:shd w:val="clear" w:color="auto" w:fill="auto"/>
            <w:vAlign w:val="center"/>
          </w:tcPr>
          <w:p w14:paraId="589ED4B8">
            <w:pPr>
              <w:rPr>
                <w:rFonts w:hint="eastAsia" w:ascii="宋体"/>
                <w:color w:val="auto"/>
                <w:sz w:val="24"/>
                <w:szCs w:val="24"/>
              </w:rPr>
            </w:pPr>
          </w:p>
        </w:tc>
      </w:tr>
      <w:tr w14:paraId="4CCA66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0" w:type="dxa"/>
          <w:jc w:val="center"/>
        </w:trPr>
        <w:tc>
          <w:tcPr>
            <w:tcW w:w="1644" w:type="dxa"/>
            <w:gridSpan w:val="2"/>
            <w:shd w:val="clear" w:color="auto" w:fill="auto"/>
            <w:vAlign w:val="center"/>
          </w:tcPr>
          <w:p w14:paraId="3DE4EC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textAlignment w:val="center"/>
              <w:rPr>
                <w:color w:val="auto"/>
              </w:rPr>
            </w:pPr>
            <w:r>
              <w:rPr>
                <w:rFonts w:hint="eastAsia" w:ascii="宋体" w:hAnsi="宋体" w:eastAsia="宋体" w:cs="宋体"/>
                <w:color w:val="auto"/>
                <w:kern w:val="0"/>
                <w:sz w:val="24"/>
                <w:szCs w:val="24"/>
                <w:lang w:val="en-US" w:eastAsia="zh-CN" w:bidi="ar"/>
              </w:rPr>
              <w:t>合计：</w:t>
            </w:r>
          </w:p>
        </w:tc>
        <w:tc>
          <w:tcPr>
            <w:tcW w:w="672" w:type="dxa"/>
            <w:shd w:val="clear" w:color="auto" w:fill="auto"/>
            <w:vAlign w:val="center"/>
          </w:tcPr>
          <w:p w14:paraId="4F408790">
            <w:pPr>
              <w:rPr>
                <w:rFonts w:hint="eastAsia" w:ascii="宋体"/>
                <w:color w:val="auto"/>
                <w:sz w:val="24"/>
                <w:szCs w:val="24"/>
              </w:rPr>
            </w:pPr>
          </w:p>
        </w:tc>
        <w:tc>
          <w:tcPr>
            <w:tcW w:w="576" w:type="dxa"/>
            <w:shd w:val="clear" w:color="auto" w:fill="auto"/>
            <w:vAlign w:val="center"/>
          </w:tcPr>
          <w:p w14:paraId="0ADFC266">
            <w:pPr>
              <w:rPr>
                <w:rFonts w:hint="eastAsia" w:ascii="宋体"/>
                <w:color w:val="auto"/>
                <w:sz w:val="24"/>
                <w:szCs w:val="24"/>
              </w:rPr>
            </w:pPr>
          </w:p>
        </w:tc>
        <w:tc>
          <w:tcPr>
            <w:tcW w:w="528" w:type="dxa"/>
            <w:shd w:val="clear" w:color="auto" w:fill="auto"/>
            <w:vAlign w:val="center"/>
          </w:tcPr>
          <w:p w14:paraId="6A8086EB">
            <w:pPr>
              <w:rPr>
                <w:rFonts w:hint="eastAsia" w:ascii="宋体"/>
                <w:color w:val="auto"/>
                <w:sz w:val="24"/>
                <w:szCs w:val="24"/>
              </w:rPr>
            </w:pPr>
          </w:p>
        </w:tc>
        <w:tc>
          <w:tcPr>
            <w:tcW w:w="576" w:type="dxa"/>
            <w:shd w:val="clear" w:color="auto" w:fill="auto"/>
            <w:vAlign w:val="center"/>
          </w:tcPr>
          <w:p w14:paraId="00642B1D">
            <w:pPr>
              <w:rPr>
                <w:rFonts w:hint="eastAsia" w:ascii="宋体"/>
                <w:color w:val="auto"/>
                <w:sz w:val="24"/>
                <w:szCs w:val="24"/>
              </w:rPr>
            </w:pPr>
          </w:p>
        </w:tc>
        <w:tc>
          <w:tcPr>
            <w:tcW w:w="480" w:type="dxa"/>
            <w:shd w:val="clear" w:color="auto" w:fill="auto"/>
            <w:vAlign w:val="center"/>
          </w:tcPr>
          <w:p w14:paraId="308689D9">
            <w:pPr>
              <w:rPr>
                <w:rFonts w:hint="eastAsia" w:ascii="宋体"/>
                <w:color w:val="auto"/>
                <w:sz w:val="24"/>
                <w:szCs w:val="24"/>
              </w:rPr>
            </w:pPr>
          </w:p>
        </w:tc>
        <w:tc>
          <w:tcPr>
            <w:tcW w:w="564" w:type="dxa"/>
            <w:shd w:val="clear" w:color="auto" w:fill="auto"/>
            <w:vAlign w:val="center"/>
          </w:tcPr>
          <w:p w14:paraId="2CBA4BC3">
            <w:pPr>
              <w:rPr>
                <w:rFonts w:hint="eastAsia" w:ascii="宋体"/>
                <w:color w:val="auto"/>
                <w:sz w:val="24"/>
                <w:szCs w:val="24"/>
              </w:rPr>
            </w:pPr>
          </w:p>
        </w:tc>
        <w:tc>
          <w:tcPr>
            <w:tcW w:w="528" w:type="dxa"/>
            <w:shd w:val="clear" w:color="auto" w:fill="auto"/>
            <w:vAlign w:val="center"/>
          </w:tcPr>
          <w:p w14:paraId="7A9AA2B8">
            <w:pPr>
              <w:rPr>
                <w:rFonts w:hint="eastAsia" w:ascii="宋体"/>
                <w:color w:val="auto"/>
                <w:sz w:val="24"/>
                <w:szCs w:val="24"/>
              </w:rPr>
            </w:pPr>
          </w:p>
        </w:tc>
        <w:tc>
          <w:tcPr>
            <w:tcW w:w="528" w:type="dxa"/>
            <w:shd w:val="clear" w:color="auto" w:fill="auto"/>
            <w:vAlign w:val="center"/>
          </w:tcPr>
          <w:p w14:paraId="541DDF3F">
            <w:pPr>
              <w:rPr>
                <w:rFonts w:hint="eastAsia" w:ascii="宋体"/>
                <w:color w:val="auto"/>
                <w:sz w:val="24"/>
                <w:szCs w:val="24"/>
              </w:rPr>
            </w:pPr>
          </w:p>
        </w:tc>
        <w:tc>
          <w:tcPr>
            <w:tcW w:w="480" w:type="dxa"/>
            <w:shd w:val="clear" w:color="auto" w:fill="auto"/>
            <w:vAlign w:val="center"/>
          </w:tcPr>
          <w:p w14:paraId="759A7088">
            <w:pPr>
              <w:rPr>
                <w:rFonts w:hint="eastAsia" w:ascii="宋体"/>
                <w:color w:val="auto"/>
                <w:sz w:val="24"/>
                <w:szCs w:val="24"/>
              </w:rPr>
            </w:pPr>
          </w:p>
        </w:tc>
        <w:tc>
          <w:tcPr>
            <w:tcW w:w="420" w:type="dxa"/>
            <w:shd w:val="clear" w:color="auto" w:fill="auto"/>
            <w:vAlign w:val="center"/>
          </w:tcPr>
          <w:p w14:paraId="6A8F2B1A">
            <w:pPr>
              <w:rPr>
                <w:rFonts w:hint="eastAsia" w:ascii="宋体"/>
                <w:color w:val="auto"/>
                <w:sz w:val="24"/>
                <w:szCs w:val="24"/>
              </w:rPr>
            </w:pPr>
          </w:p>
        </w:tc>
        <w:tc>
          <w:tcPr>
            <w:tcW w:w="432" w:type="dxa"/>
            <w:shd w:val="clear" w:color="auto" w:fill="auto"/>
            <w:vAlign w:val="center"/>
          </w:tcPr>
          <w:p w14:paraId="31BD86F9">
            <w:pPr>
              <w:rPr>
                <w:rFonts w:hint="eastAsia" w:ascii="宋体"/>
                <w:color w:val="auto"/>
                <w:sz w:val="24"/>
                <w:szCs w:val="24"/>
              </w:rPr>
            </w:pPr>
          </w:p>
        </w:tc>
        <w:tc>
          <w:tcPr>
            <w:tcW w:w="576" w:type="dxa"/>
            <w:shd w:val="clear" w:color="auto" w:fill="auto"/>
            <w:vAlign w:val="center"/>
          </w:tcPr>
          <w:p w14:paraId="524C46CC">
            <w:pPr>
              <w:rPr>
                <w:rFonts w:hint="eastAsia" w:ascii="宋体"/>
                <w:color w:val="auto"/>
                <w:sz w:val="24"/>
                <w:szCs w:val="24"/>
              </w:rPr>
            </w:pPr>
          </w:p>
        </w:tc>
        <w:tc>
          <w:tcPr>
            <w:tcW w:w="636" w:type="dxa"/>
            <w:shd w:val="clear" w:color="auto" w:fill="auto"/>
            <w:vAlign w:val="center"/>
          </w:tcPr>
          <w:p w14:paraId="0229CCFB">
            <w:pPr>
              <w:rPr>
                <w:rFonts w:hint="eastAsia" w:ascii="宋体"/>
                <w:color w:val="auto"/>
                <w:sz w:val="24"/>
                <w:szCs w:val="24"/>
              </w:rPr>
            </w:pPr>
          </w:p>
        </w:tc>
        <w:tc>
          <w:tcPr>
            <w:tcW w:w="648" w:type="dxa"/>
            <w:shd w:val="clear" w:color="auto" w:fill="auto"/>
            <w:vAlign w:val="center"/>
          </w:tcPr>
          <w:p w14:paraId="2F9247F3">
            <w:pPr>
              <w:rPr>
                <w:rFonts w:hint="eastAsia" w:ascii="宋体"/>
                <w:color w:val="auto"/>
                <w:sz w:val="24"/>
                <w:szCs w:val="24"/>
              </w:rPr>
            </w:pPr>
          </w:p>
        </w:tc>
        <w:tc>
          <w:tcPr>
            <w:tcW w:w="624" w:type="dxa"/>
            <w:shd w:val="clear" w:color="auto" w:fill="auto"/>
            <w:vAlign w:val="center"/>
          </w:tcPr>
          <w:p w14:paraId="27B36B14">
            <w:pPr>
              <w:rPr>
                <w:rFonts w:hint="eastAsia" w:ascii="宋体"/>
                <w:color w:val="auto"/>
                <w:sz w:val="24"/>
                <w:szCs w:val="24"/>
              </w:rPr>
            </w:pPr>
          </w:p>
        </w:tc>
        <w:tc>
          <w:tcPr>
            <w:tcW w:w="624" w:type="dxa"/>
            <w:shd w:val="clear" w:color="auto" w:fill="auto"/>
            <w:vAlign w:val="center"/>
          </w:tcPr>
          <w:p w14:paraId="3F0EF1FB">
            <w:pPr>
              <w:rPr>
                <w:rFonts w:hint="eastAsia" w:ascii="宋体"/>
                <w:color w:val="auto"/>
                <w:sz w:val="24"/>
                <w:szCs w:val="24"/>
              </w:rPr>
            </w:pPr>
          </w:p>
        </w:tc>
        <w:tc>
          <w:tcPr>
            <w:tcW w:w="744" w:type="dxa"/>
            <w:shd w:val="clear" w:color="auto" w:fill="auto"/>
            <w:vAlign w:val="center"/>
          </w:tcPr>
          <w:p w14:paraId="3260992C">
            <w:pPr>
              <w:rPr>
                <w:rFonts w:hint="eastAsia" w:ascii="宋体"/>
                <w:color w:val="auto"/>
                <w:sz w:val="24"/>
                <w:szCs w:val="24"/>
              </w:rPr>
            </w:pPr>
          </w:p>
        </w:tc>
        <w:tc>
          <w:tcPr>
            <w:tcW w:w="444" w:type="dxa"/>
            <w:shd w:val="clear" w:color="auto" w:fill="auto"/>
            <w:vAlign w:val="center"/>
          </w:tcPr>
          <w:p w14:paraId="630D9D33">
            <w:pPr>
              <w:rPr>
                <w:rFonts w:hint="eastAsia" w:ascii="宋体"/>
                <w:color w:val="auto"/>
                <w:sz w:val="24"/>
                <w:szCs w:val="24"/>
              </w:rPr>
            </w:pPr>
          </w:p>
        </w:tc>
        <w:tc>
          <w:tcPr>
            <w:tcW w:w="420" w:type="dxa"/>
            <w:shd w:val="clear" w:color="auto" w:fill="auto"/>
            <w:vAlign w:val="center"/>
          </w:tcPr>
          <w:p w14:paraId="7130FCE1">
            <w:pPr>
              <w:rPr>
                <w:rFonts w:hint="eastAsia" w:ascii="宋体"/>
                <w:color w:val="auto"/>
                <w:sz w:val="24"/>
                <w:szCs w:val="24"/>
              </w:rPr>
            </w:pPr>
          </w:p>
        </w:tc>
      </w:tr>
    </w:tbl>
    <w:p w14:paraId="32E240E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4" w:lineRule="atLeast"/>
        <w:ind w:left="0" w:right="0" w:firstLine="0"/>
        <w:rPr>
          <w:color w:val="auto"/>
        </w:rPr>
      </w:pPr>
      <w:r>
        <w:rPr>
          <w:rFonts w:hint="eastAsia" w:ascii="宋体" w:hAnsi="宋体" w:eastAsia="宋体" w:cs="宋体"/>
          <w:i w:val="0"/>
          <w:iCs w:val="0"/>
          <w:caps w:val="0"/>
          <w:color w:val="auto"/>
          <w:spacing w:val="0"/>
          <w:sz w:val="24"/>
          <w:szCs w:val="24"/>
        </w:rPr>
        <w:t>制表人： 审核人：</w:t>
      </w:r>
    </w:p>
    <w:p w14:paraId="30EFCC4C">
      <w:pPr>
        <w:keepNext w:val="0"/>
        <w:keepLines w:val="0"/>
        <w:widowControl/>
        <w:suppressLineNumbers w:val="0"/>
        <w:spacing w:before="0" w:beforeAutospacing="0" w:after="0" w:afterAutospacing="0"/>
        <w:ind w:left="0" w:right="0"/>
        <w:jc w:val="left"/>
        <w:rPr>
          <w:color w:val="auto"/>
        </w:rPr>
      </w:pPr>
    </w:p>
    <w:p w14:paraId="51EB71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4" w:lineRule="atLeast"/>
        <w:ind w:left="0" w:right="0"/>
        <w:jc w:val="left"/>
        <w:rPr>
          <w:color w:val="auto"/>
        </w:rPr>
      </w:pPr>
      <w:r>
        <w:rPr>
          <w:rFonts w:hint="eastAsia" w:ascii="黑体" w:hAnsi="宋体" w:eastAsia="黑体" w:cs="黑体"/>
          <w:i w:val="0"/>
          <w:iCs w:val="0"/>
          <w:caps w:val="0"/>
          <w:color w:val="auto"/>
          <w:spacing w:val="0"/>
          <w:kern w:val="0"/>
          <w:sz w:val="32"/>
          <w:szCs w:val="32"/>
          <w:lang w:val="en-US" w:eastAsia="zh-CN" w:bidi="ar"/>
        </w:rPr>
        <w:t>附件2</w:t>
      </w:r>
    </w:p>
    <w:tbl>
      <w:tblPr>
        <w:tblStyle w:val="5"/>
        <w:tblW w:w="9551" w:type="dxa"/>
        <w:tblCellSpacing w:w="0" w:type="dxa"/>
        <w:tblInd w:w="-22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811"/>
        <w:gridCol w:w="3920"/>
        <w:gridCol w:w="1817"/>
        <w:gridCol w:w="3003"/>
      </w:tblGrid>
      <w:tr w14:paraId="79DCB6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0" w:type="dxa"/>
        </w:trPr>
        <w:tc>
          <w:tcPr>
            <w:tcW w:w="7632" w:type="dxa"/>
            <w:gridSpan w:val="4"/>
            <w:shd w:val="clear" w:color="auto" w:fill="auto"/>
            <w:vAlign w:val="center"/>
          </w:tcPr>
          <w:p w14:paraId="5A9985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default" w:ascii="方正小标宋简体" w:hAnsi="方正小标宋简体" w:eastAsia="方正小标宋简体" w:cs="方正小标宋简体"/>
                <w:color w:val="auto"/>
                <w:kern w:val="0"/>
                <w:sz w:val="36"/>
                <w:szCs w:val="36"/>
                <w:lang w:val="en-US" w:eastAsia="zh-CN" w:bidi="ar"/>
              </w:rPr>
              <w:t>温州市粮食“五优联动”阶段性材料清单</w:t>
            </w:r>
          </w:p>
        </w:tc>
      </w:tr>
      <w:tr w14:paraId="7BA4B1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0" w:type="dxa"/>
        </w:trPr>
        <w:tc>
          <w:tcPr>
            <w:tcW w:w="648" w:type="dxa"/>
            <w:shd w:val="clear" w:color="auto" w:fill="auto"/>
            <w:vAlign w:val="center"/>
          </w:tcPr>
          <w:p w14:paraId="75111F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黑体" w:hAnsi="宋体" w:eastAsia="黑体" w:cs="黑体"/>
                <w:color w:val="auto"/>
                <w:kern w:val="0"/>
                <w:sz w:val="24"/>
                <w:szCs w:val="24"/>
                <w:lang w:val="en-US" w:eastAsia="zh-CN" w:bidi="ar"/>
              </w:rPr>
              <w:t>阶段</w:t>
            </w:r>
          </w:p>
        </w:tc>
        <w:tc>
          <w:tcPr>
            <w:tcW w:w="3132" w:type="dxa"/>
            <w:shd w:val="clear" w:color="auto" w:fill="auto"/>
            <w:vAlign w:val="center"/>
          </w:tcPr>
          <w:p w14:paraId="1EF4CC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黑体" w:hAnsi="宋体" w:eastAsia="黑体" w:cs="黑体"/>
                <w:color w:val="auto"/>
                <w:kern w:val="0"/>
                <w:sz w:val="24"/>
                <w:szCs w:val="24"/>
                <w:lang w:val="en-US" w:eastAsia="zh-CN" w:bidi="ar"/>
              </w:rPr>
              <w:t>提供材料</w:t>
            </w:r>
          </w:p>
        </w:tc>
        <w:tc>
          <w:tcPr>
            <w:tcW w:w="1452" w:type="dxa"/>
            <w:shd w:val="clear" w:color="auto" w:fill="auto"/>
            <w:vAlign w:val="center"/>
          </w:tcPr>
          <w:p w14:paraId="0C7786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黑体" w:hAnsi="宋体" w:eastAsia="黑体" w:cs="黑体"/>
                <w:color w:val="auto"/>
                <w:kern w:val="0"/>
                <w:sz w:val="24"/>
                <w:szCs w:val="24"/>
                <w:lang w:val="en-US" w:eastAsia="zh-CN" w:bidi="ar"/>
              </w:rPr>
              <w:t>时限要求</w:t>
            </w:r>
          </w:p>
        </w:tc>
        <w:tc>
          <w:tcPr>
            <w:tcW w:w="2400" w:type="dxa"/>
            <w:shd w:val="clear" w:color="auto" w:fill="auto"/>
            <w:vAlign w:val="center"/>
          </w:tcPr>
          <w:p w14:paraId="16DF97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黑体" w:hAnsi="宋体" w:eastAsia="黑体" w:cs="黑体"/>
                <w:color w:val="auto"/>
                <w:kern w:val="0"/>
                <w:sz w:val="24"/>
                <w:szCs w:val="24"/>
                <w:lang w:val="en-US" w:eastAsia="zh-CN" w:bidi="ar"/>
              </w:rPr>
              <w:t>责任方</w:t>
            </w:r>
          </w:p>
        </w:tc>
      </w:tr>
      <w:tr w14:paraId="426A99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0" w:type="dxa"/>
        </w:trPr>
        <w:tc>
          <w:tcPr>
            <w:tcW w:w="648" w:type="dxa"/>
            <w:vMerge w:val="restart"/>
            <w:shd w:val="clear" w:color="auto" w:fill="auto"/>
            <w:vAlign w:val="center"/>
          </w:tcPr>
          <w:p w14:paraId="057CF7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优产</w:t>
            </w:r>
          </w:p>
        </w:tc>
        <w:tc>
          <w:tcPr>
            <w:tcW w:w="3132" w:type="dxa"/>
            <w:shd w:val="clear" w:color="auto" w:fill="auto"/>
            <w:vAlign w:val="center"/>
          </w:tcPr>
          <w:p w14:paraId="7E3B94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textAlignment w:val="center"/>
              <w:rPr>
                <w:color w:val="auto"/>
              </w:rPr>
            </w:pPr>
            <w:r>
              <w:rPr>
                <w:rFonts w:hint="eastAsia" w:ascii="宋体" w:hAnsi="宋体" w:eastAsia="宋体" w:cs="宋体"/>
                <w:color w:val="auto"/>
                <w:kern w:val="0"/>
                <w:sz w:val="24"/>
                <w:szCs w:val="24"/>
                <w:lang w:val="en-US" w:eastAsia="zh-CN" w:bidi="ar"/>
              </w:rPr>
              <w:t>分农户优质稻种或秧苗购买凭证</w:t>
            </w:r>
          </w:p>
        </w:tc>
        <w:tc>
          <w:tcPr>
            <w:tcW w:w="1452" w:type="dxa"/>
            <w:vMerge w:val="restart"/>
            <w:shd w:val="clear" w:color="auto" w:fill="auto"/>
            <w:vAlign w:val="center"/>
          </w:tcPr>
          <w:p w14:paraId="69B8BE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当年10月底</w:t>
            </w:r>
          </w:p>
        </w:tc>
        <w:tc>
          <w:tcPr>
            <w:tcW w:w="2400" w:type="dxa"/>
            <w:shd w:val="clear" w:color="auto" w:fill="auto"/>
            <w:vAlign w:val="center"/>
          </w:tcPr>
          <w:p w14:paraId="0A9F5B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cs="宋体"/>
                <w:color w:val="auto"/>
                <w:kern w:val="0"/>
                <w:sz w:val="24"/>
                <w:szCs w:val="24"/>
                <w:lang w:val="en-US" w:eastAsia="zh-CN" w:bidi="ar"/>
              </w:rPr>
              <w:t>竞得</w:t>
            </w:r>
            <w:r>
              <w:rPr>
                <w:rFonts w:hint="eastAsia" w:ascii="宋体" w:hAnsi="宋体" w:eastAsia="宋体" w:cs="宋体"/>
                <w:color w:val="auto"/>
                <w:kern w:val="0"/>
                <w:sz w:val="24"/>
                <w:szCs w:val="24"/>
                <w:lang w:val="en-US" w:eastAsia="zh-CN" w:bidi="ar"/>
              </w:rPr>
              <w:t>实施主体</w:t>
            </w:r>
          </w:p>
        </w:tc>
      </w:tr>
      <w:tr w14:paraId="7C31B0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0" w:type="dxa"/>
        </w:trPr>
        <w:tc>
          <w:tcPr>
            <w:tcW w:w="648" w:type="dxa"/>
            <w:vMerge w:val="continue"/>
            <w:shd w:val="clear" w:color="auto" w:fill="auto"/>
            <w:vAlign w:val="center"/>
          </w:tcPr>
          <w:p w14:paraId="142ECDD6">
            <w:pPr>
              <w:rPr>
                <w:rFonts w:hint="eastAsia" w:ascii="宋体"/>
                <w:color w:val="auto"/>
                <w:sz w:val="24"/>
                <w:szCs w:val="24"/>
              </w:rPr>
            </w:pPr>
          </w:p>
        </w:tc>
        <w:tc>
          <w:tcPr>
            <w:tcW w:w="3132" w:type="dxa"/>
            <w:shd w:val="clear" w:color="auto" w:fill="auto"/>
            <w:vAlign w:val="center"/>
          </w:tcPr>
          <w:p w14:paraId="35C291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textAlignment w:val="center"/>
              <w:rPr>
                <w:color w:val="auto"/>
              </w:rPr>
            </w:pPr>
            <w:r>
              <w:rPr>
                <w:rFonts w:hint="eastAsia" w:ascii="宋体" w:hAnsi="宋体" w:eastAsia="宋体" w:cs="宋体"/>
                <w:color w:val="auto"/>
                <w:kern w:val="0"/>
                <w:sz w:val="24"/>
                <w:szCs w:val="24"/>
                <w:lang w:val="en-US" w:eastAsia="zh-CN" w:bidi="ar"/>
              </w:rPr>
              <w:t>分农户农药化肥使用台账</w:t>
            </w:r>
          </w:p>
        </w:tc>
        <w:tc>
          <w:tcPr>
            <w:tcW w:w="1452" w:type="dxa"/>
            <w:vMerge w:val="continue"/>
            <w:shd w:val="clear" w:color="auto" w:fill="auto"/>
            <w:vAlign w:val="center"/>
          </w:tcPr>
          <w:p w14:paraId="07F2C23C">
            <w:pPr>
              <w:rPr>
                <w:rFonts w:hint="eastAsia" w:ascii="宋体"/>
                <w:color w:val="auto"/>
                <w:sz w:val="24"/>
                <w:szCs w:val="24"/>
              </w:rPr>
            </w:pPr>
          </w:p>
        </w:tc>
        <w:tc>
          <w:tcPr>
            <w:tcW w:w="2400" w:type="dxa"/>
            <w:shd w:val="clear" w:color="auto" w:fill="auto"/>
            <w:vAlign w:val="center"/>
          </w:tcPr>
          <w:p w14:paraId="4610DC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cs="宋体"/>
                <w:color w:val="auto"/>
                <w:kern w:val="0"/>
                <w:sz w:val="24"/>
                <w:szCs w:val="24"/>
                <w:lang w:val="en-US" w:eastAsia="zh-CN" w:bidi="ar"/>
              </w:rPr>
              <w:t>竞得</w:t>
            </w:r>
            <w:r>
              <w:rPr>
                <w:rFonts w:hint="eastAsia" w:ascii="宋体" w:hAnsi="宋体" w:eastAsia="宋体" w:cs="宋体"/>
                <w:color w:val="auto"/>
                <w:kern w:val="0"/>
                <w:sz w:val="24"/>
                <w:szCs w:val="24"/>
                <w:lang w:val="en-US" w:eastAsia="zh-CN" w:bidi="ar"/>
              </w:rPr>
              <w:t>实施主体</w:t>
            </w:r>
          </w:p>
        </w:tc>
      </w:tr>
      <w:tr w14:paraId="668DF8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0" w:type="dxa"/>
        </w:trPr>
        <w:tc>
          <w:tcPr>
            <w:tcW w:w="648" w:type="dxa"/>
            <w:vMerge w:val="restart"/>
            <w:shd w:val="clear" w:color="auto" w:fill="auto"/>
            <w:vAlign w:val="center"/>
          </w:tcPr>
          <w:p w14:paraId="40ACA7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优购</w:t>
            </w:r>
          </w:p>
        </w:tc>
        <w:tc>
          <w:tcPr>
            <w:tcW w:w="3132" w:type="dxa"/>
            <w:shd w:val="clear" w:color="auto" w:fill="auto"/>
            <w:vAlign w:val="center"/>
          </w:tcPr>
          <w:p w14:paraId="1EBCF2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textAlignment w:val="center"/>
              <w:rPr>
                <w:color w:val="auto"/>
              </w:rPr>
            </w:pPr>
            <w:r>
              <w:rPr>
                <w:rFonts w:hint="eastAsia" w:ascii="宋体" w:hAnsi="宋体" w:eastAsia="宋体" w:cs="宋体"/>
                <w:color w:val="auto"/>
                <w:kern w:val="0"/>
                <w:sz w:val="24"/>
                <w:szCs w:val="24"/>
                <w:lang w:val="en-US" w:eastAsia="zh-CN" w:bidi="ar"/>
              </w:rPr>
              <w:t>分农户“五优联动”订单合同</w:t>
            </w:r>
          </w:p>
        </w:tc>
        <w:tc>
          <w:tcPr>
            <w:tcW w:w="1452" w:type="dxa"/>
            <w:vMerge w:val="continue"/>
            <w:shd w:val="clear" w:color="auto" w:fill="auto"/>
            <w:vAlign w:val="center"/>
          </w:tcPr>
          <w:p w14:paraId="2FC3A67F">
            <w:pPr>
              <w:rPr>
                <w:rFonts w:hint="eastAsia" w:ascii="宋体"/>
                <w:color w:val="auto"/>
                <w:sz w:val="24"/>
                <w:szCs w:val="24"/>
              </w:rPr>
            </w:pPr>
          </w:p>
        </w:tc>
        <w:tc>
          <w:tcPr>
            <w:tcW w:w="2400" w:type="dxa"/>
            <w:shd w:val="clear" w:color="auto" w:fill="auto"/>
            <w:vAlign w:val="center"/>
          </w:tcPr>
          <w:p w14:paraId="02E908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cs="宋体"/>
                <w:color w:val="auto"/>
                <w:kern w:val="0"/>
                <w:sz w:val="24"/>
                <w:szCs w:val="24"/>
                <w:lang w:val="en-US" w:eastAsia="zh-CN" w:bidi="ar"/>
              </w:rPr>
              <w:t>竞得</w:t>
            </w:r>
            <w:r>
              <w:rPr>
                <w:rFonts w:hint="eastAsia" w:ascii="宋体" w:hAnsi="宋体" w:eastAsia="宋体" w:cs="宋体"/>
                <w:color w:val="auto"/>
                <w:kern w:val="0"/>
                <w:sz w:val="24"/>
                <w:szCs w:val="24"/>
                <w:lang w:val="en-US" w:eastAsia="zh-CN" w:bidi="ar"/>
              </w:rPr>
              <w:t>实施主体</w:t>
            </w:r>
          </w:p>
        </w:tc>
      </w:tr>
      <w:tr w14:paraId="1E57C3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0" w:type="dxa"/>
        </w:trPr>
        <w:tc>
          <w:tcPr>
            <w:tcW w:w="648" w:type="dxa"/>
            <w:vMerge w:val="continue"/>
            <w:shd w:val="clear" w:color="auto" w:fill="auto"/>
            <w:vAlign w:val="center"/>
          </w:tcPr>
          <w:p w14:paraId="52D3A442">
            <w:pPr>
              <w:rPr>
                <w:rFonts w:hint="eastAsia" w:ascii="宋体"/>
                <w:color w:val="auto"/>
                <w:sz w:val="24"/>
                <w:szCs w:val="24"/>
              </w:rPr>
            </w:pPr>
          </w:p>
        </w:tc>
        <w:tc>
          <w:tcPr>
            <w:tcW w:w="3132" w:type="dxa"/>
            <w:shd w:val="clear" w:color="auto" w:fill="auto"/>
            <w:vAlign w:val="center"/>
          </w:tcPr>
          <w:p w14:paraId="733903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textAlignment w:val="center"/>
              <w:rPr>
                <w:color w:val="auto"/>
              </w:rPr>
            </w:pPr>
            <w:r>
              <w:rPr>
                <w:rFonts w:hint="eastAsia" w:ascii="宋体" w:hAnsi="宋体" w:eastAsia="宋体" w:cs="宋体"/>
                <w:color w:val="auto"/>
                <w:kern w:val="0"/>
                <w:sz w:val="24"/>
                <w:szCs w:val="24"/>
                <w:lang w:val="en-US" w:eastAsia="zh-CN" w:bidi="ar"/>
              </w:rPr>
              <w:t>分农户收购凭证(收购发票+电子清单)</w:t>
            </w:r>
          </w:p>
        </w:tc>
        <w:tc>
          <w:tcPr>
            <w:tcW w:w="1452" w:type="dxa"/>
            <w:vMerge w:val="restart"/>
            <w:shd w:val="clear" w:color="auto" w:fill="auto"/>
            <w:vAlign w:val="center"/>
          </w:tcPr>
          <w:p w14:paraId="3CEBDC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当年12月底</w:t>
            </w:r>
          </w:p>
        </w:tc>
        <w:tc>
          <w:tcPr>
            <w:tcW w:w="2400" w:type="dxa"/>
            <w:shd w:val="clear" w:color="auto" w:fill="auto"/>
            <w:vAlign w:val="center"/>
          </w:tcPr>
          <w:p w14:paraId="600EB4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cs="宋体"/>
                <w:color w:val="auto"/>
                <w:kern w:val="0"/>
                <w:sz w:val="24"/>
                <w:szCs w:val="24"/>
                <w:lang w:val="en-US" w:eastAsia="zh-CN" w:bidi="ar"/>
              </w:rPr>
              <w:t>乐清市</w:t>
            </w:r>
            <w:r>
              <w:rPr>
                <w:rFonts w:hint="eastAsia" w:ascii="宋体" w:hAnsi="宋体" w:eastAsia="宋体" w:cs="宋体"/>
                <w:color w:val="auto"/>
                <w:kern w:val="0"/>
                <w:sz w:val="24"/>
                <w:szCs w:val="24"/>
                <w:lang w:val="en-US" w:eastAsia="zh-CN" w:bidi="ar"/>
              </w:rPr>
              <w:t>粮储公司或</w:t>
            </w:r>
            <w:r>
              <w:rPr>
                <w:rFonts w:hint="eastAsia" w:ascii="宋体" w:hAnsi="宋体" w:cs="宋体"/>
                <w:color w:val="auto"/>
                <w:kern w:val="0"/>
                <w:sz w:val="24"/>
                <w:szCs w:val="24"/>
                <w:lang w:val="en-US" w:eastAsia="zh-CN" w:bidi="ar"/>
              </w:rPr>
              <w:t>竞得</w:t>
            </w:r>
            <w:r>
              <w:rPr>
                <w:rFonts w:hint="eastAsia" w:ascii="宋体" w:hAnsi="宋体" w:eastAsia="宋体" w:cs="宋体"/>
                <w:color w:val="auto"/>
                <w:kern w:val="0"/>
                <w:sz w:val="24"/>
                <w:szCs w:val="24"/>
                <w:lang w:val="en-US" w:eastAsia="zh-CN" w:bidi="ar"/>
              </w:rPr>
              <w:t>实施主体</w:t>
            </w:r>
          </w:p>
        </w:tc>
      </w:tr>
      <w:tr w14:paraId="78B662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0" w:type="dxa"/>
        </w:trPr>
        <w:tc>
          <w:tcPr>
            <w:tcW w:w="648" w:type="dxa"/>
            <w:vMerge w:val="continue"/>
            <w:shd w:val="clear" w:color="auto" w:fill="auto"/>
            <w:vAlign w:val="center"/>
          </w:tcPr>
          <w:p w14:paraId="51A47620">
            <w:pPr>
              <w:rPr>
                <w:rFonts w:hint="eastAsia" w:ascii="宋体"/>
                <w:color w:val="auto"/>
                <w:sz w:val="24"/>
                <w:szCs w:val="24"/>
              </w:rPr>
            </w:pPr>
          </w:p>
        </w:tc>
        <w:tc>
          <w:tcPr>
            <w:tcW w:w="3132" w:type="dxa"/>
            <w:shd w:val="clear" w:color="auto" w:fill="auto"/>
            <w:vAlign w:val="center"/>
          </w:tcPr>
          <w:p w14:paraId="011533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textAlignment w:val="center"/>
              <w:rPr>
                <w:color w:val="auto"/>
              </w:rPr>
            </w:pPr>
            <w:r>
              <w:rPr>
                <w:rFonts w:hint="eastAsia" w:ascii="宋体" w:hAnsi="宋体" w:eastAsia="宋体" w:cs="宋体"/>
                <w:color w:val="auto"/>
                <w:kern w:val="0"/>
                <w:sz w:val="24"/>
                <w:szCs w:val="24"/>
                <w:lang w:val="en-US" w:eastAsia="zh-CN" w:bidi="ar"/>
              </w:rPr>
              <w:t>分农户优质加价凭证（支付凭证+电子清单），优质加价不低于当年国标三等中晚籼稻收购价*5%以上</w:t>
            </w:r>
          </w:p>
        </w:tc>
        <w:tc>
          <w:tcPr>
            <w:tcW w:w="1452" w:type="dxa"/>
            <w:vMerge w:val="continue"/>
            <w:shd w:val="clear" w:color="auto" w:fill="auto"/>
            <w:vAlign w:val="center"/>
          </w:tcPr>
          <w:p w14:paraId="7A68BB2E">
            <w:pPr>
              <w:rPr>
                <w:rFonts w:hint="eastAsia" w:ascii="宋体"/>
                <w:color w:val="auto"/>
                <w:sz w:val="24"/>
                <w:szCs w:val="24"/>
              </w:rPr>
            </w:pPr>
          </w:p>
        </w:tc>
        <w:tc>
          <w:tcPr>
            <w:tcW w:w="2400" w:type="dxa"/>
            <w:shd w:val="clear" w:color="auto" w:fill="auto"/>
            <w:vAlign w:val="center"/>
          </w:tcPr>
          <w:p w14:paraId="6CC300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cs="宋体"/>
                <w:color w:val="auto"/>
                <w:kern w:val="0"/>
                <w:sz w:val="24"/>
                <w:szCs w:val="24"/>
                <w:lang w:val="en-US" w:eastAsia="zh-CN" w:bidi="ar"/>
              </w:rPr>
              <w:t>市</w:t>
            </w:r>
            <w:r>
              <w:rPr>
                <w:rFonts w:hint="eastAsia" w:ascii="宋体" w:hAnsi="宋体" w:eastAsia="宋体" w:cs="宋体"/>
                <w:color w:val="auto"/>
                <w:kern w:val="0"/>
                <w:sz w:val="24"/>
                <w:szCs w:val="24"/>
                <w:lang w:val="en-US" w:eastAsia="zh-CN" w:bidi="ar"/>
              </w:rPr>
              <w:t>粮储公司或</w:t>
            </w:r>
            <w:r>
              <w:rPr>
                <w:rFonts w:hint="eastAsia" w:ascii="宋体" w:hAnsi="宋体" w:cs="宋体"/>
                <w:color w:val="auto"/>
                <w:kern w:val="0"/>
                <w:sz w:val="24"/>
                <w:szCs w:val="24"/>
                <w:lang w:val="en-US" w:eastAsia="zh-CN" w:bidi="ar"/>
              </w:rPr>
              <w:t>竞得</w:t>
            </w:r>
            <w:r>
              <w:rPr>
                <w:rFonts w:hint="eastAsia" w:ascii="宋体" w:hAnsi="宋体" w:eastAsia="宋体" w:cs="宋体"/>
                <w:color w:val="auto"/>
                <w:kern w:val="0"/>
                <w:sz w:val="24"/>
                <w:szCs w:val="24"/>
                <w:lang w:val="en-US" w:eastAsia="zh-CN" w:bidi="ar"/>
              </w:rPr>
              <w:t>实施主体</w:t>
            </w:r>
          </w:p>
        </w:tc>
      </w:tr>
      <w:tr w14:paraId="4E1DA0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0" w:type="dxa"/>
        </w:trPr>
        <w:tc>
          <w:tcPr>
            <w:tcW w:w="648" w:type="dxa"/>
            <w:vMerge w:val="continue"/>
            <w:shd w:val="clear" w:color="auto" w:fill="auto"/>
            <w:vAlign w:val="center"/>
          </w:tcPr>
          <w:p w14:paraId="355836C5">
            <w:pPr>
              <w:rPr>
                <w:rFonts w:hint="eastAsia" w:ascii="宋体"/>
                <w:color w:val="auto"/>
                <w:sz w:val="24"/>
                <w:szCs w:val="24"/>
              </w:rPr>
            </w:pPr>
          </w:p>
        </w:tc>
        <w:tc>
          <w:tcPr>
            <w:tcW w:w="3132" w:type="dxa"/>
            <w:shd w:val="clear" w:color="auto" w:fill="auto"/>
            <w:vAlign w:val="center"/>
          </w:tcPr>
          <w:p w14:paraId="62F085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textAlignment w:val="center"/>
              <w:rPr>
                <w:color w:val="auto"/>
              </w:rPr>
            </w:pPr>
            <w:r>
              <w:rPr>
                <w:rFonts w:hint="eastAsia" w:ascii="宋体" w:hAnsi="宋体" w:eastAsia="宋体" w:cs="宋体"/>
                <w:color w:val="auto"/>
                <w:kern w:val="0"/>
                <w:sz w:val="24"/>
                <w:szCs w:val="24"/>
                <w:lang w:val="en-US" w:eastAsia="zh-CN" w:bidi="ar"/>
              </w:rPr>
              <w:t>粮食“五优联动”清单</w:t>
            </w:r>
          </w:p>
        </w:tc>
        <w:tc>
          <w:tcPr>
            <w:tcW w:w="1452" w:type="dxa"/>
            <w:vMerge w:val="continue"/>
            <w:shd w:val="clear" w:color="auto" w:fill="auto"/>
            <w:vAlign w:val="center"/>
          </w:tcPr>
          <w:p w14:paraId="77971BFC">
            <w:pPr>
              <w:rPr>
                <w:rFonts w:hint="eastAsia" w:ascii="宋体"/>
                <w:color w:val="auto"/>
                <w:sz w:val="24"/>
                <w:szCs w:val="24"/>
              </w:rPr>
            </w:pPr>
          </w:p>
        </w:tc>
        <w:tc>
          <w:tcPr>
            <w:tcW w:w="2400" w:type="dxa"/>
            <w:shd w:val="clear" w:color="auto" w:fill="auto"/>
            <w:vAlign w:val="center"/>
          </w:tcPr>
          <w:p w14:paraId="693F15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cs="宋体"/>
                <w:color w:val="auto"/>
                <w:kern w:val="0"/>
                <w:sz w:val="24"/>
                <w:szCs w:val="24"/>
                <w:lang w:val="en-US" w:eastAsia="zh-CN" w:bidi="ar"/>
              </w:rPr>
              <w:t>市</w:t>
            </w:r>
            <w:r>
              <w:rPr>
                <w:rFonts w:hint="eastAsia" w:ascii="宋体" w:hAnsi="宋体" w:eastAsia="宋体" w:cs="宋体"/>
                <w:color w:val="auto"/>
                <w:kern w:val="0"/>
                <w:sz w:val="24"/>
                <w:szCs w:val="24"/>
                <w:lang w:val="en-US" w:eastAsia="zh-CN" w:bidi="ar"/>
              </w:rPr>
              <w:t>粮储公司或</w:t>
            </w:r>
            <w:r>
              <w:rPr>
                <w:rFonts w:hint="eastAsia" w:ascii="宋体" w:hAnsi="宋体" w:cs="宋体"/>
                <w:color w:val="auto"/>
                <w:kern w:val="0"/>
                <w:sz w:val="24"/>
                <w:szCs w:val="24"/>
                <w:lang w:val="en-US" w:eastAsia="zh-CN" w:bidi="ar"/>
              </w:rPr>
              <w:t>竞得</w:t>
            </w:r>
            <w:r>
              <w:rPr>
                <w:rFonts w:hint="eastAsia" w:ascii="宋体" w:hAnsi="宋体" w:eastAsia="宋体" w:cs="宋体"/>
                <w:color w:val="auto"/>
                <w:kern w:val="0"/>
                <w:sz w:val="24"/>
                <w:szCs w:val="24"/>
                <w:lang w:val="en-US" w:eastAsia="zh-CN" w:bidi="ar"/>
              </w:rPr>
              <w:t>实施主体</w:t>
            </w:r>
          </w:p>
        </w:tc>
      </w:tr>
      <w:tr w14:paraId="08F72A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0" w:type="dxa"/>
        </w:trPr>
        <w:tc>
          <w:tcPr>
            <w:tcW w:w="648" w:type="dxa"/>
            <w:vMerge w:val="restart"/>
            <w:shd w:val="clear" w:color="auto" w:fill="auto"/>
            <w:vAlign w:val="center"/>
          </w:tcPr>
          <w:p w14:paraId="06363B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优储</w:t>
            </w:r>
          </w:p>
        </w:tc>
        <w:tc>
          <w:tcPr>
            <w:tcW w:w="3132" w:type="dxa"/>
            <w:shd w:val="clear" w:color="auto" w:fill="auto"/>
            <w:vAlign w:val="center"/>
          </w:tcPr>
          <w:p w14:paraId="0B8860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textAlignment w:val="center"/>
              <w:rPr>
                <w:color w:val="auto"/>
              </w:rPr>
            </w:pPr>
            <w:r>
              <w:rPr>
                <w:rFonts w:hint="eastAsia" w:ascii="宋体" w:hAnsi="宋体" w:eastAsia="宋体" w:cs="宋体"/>
                <w:color w:val="auto"/>
                <w:kern w:val="0"/>
                <w:sz w:val="24"/>
                <w:szCs w:val="24"/>
                <w:lang w:val="en-US" w:eastAsia="zh-CN" w:bidi="ar"/>
              </w:rPr>
              <w:t>使用国有收储企业仓库的，提供协议；自有或者租赁（提供协议）仓库的，提供粮库仓房控温设备照片</w:t>
            </w:r>
          </w:p>
        </w:tc>
        <w:tc>
          <w:tcPr>
            <w:tcW w:w="1452" w:type="dxa"/>
            <w:vMerge w:val="continue"/>
            <w:shd w:val="clear" w:color="auto" w:fill="auto"/>
            <w:vAlign w:val="center"/>
          </w:tcPr>
          <w:p w14:paraId="17116A34">
            <w:pPr>
              <w:rPr>
                <w:rFonts w:hint="eastAsia" w:ascii="宋体"/>
                <w:color w:val="auto"/>
                <w:sz w:val="24"/>
                <w:szCs w:val="24"/>
              </w:rPr>
            </w:pPr>
          </w:p>
        </w:tc>
        <w:tc>
          <w:tcPr>
            <w:tcW w:w="2400" w:type="dxa"/>
            <w:shd w:val="clear" w:color="auto" w:fill="auto"/>
            <w:vAlign w:val="center"/>
          </w:tcPr>
          <w:p w14:paraId="49733C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cs="宋体"/>
                <w:color w:val="auto"/>
                <w:kern w:val="0"/>
                <w:sz w:val="24"/>
                <w:szCs w:val="24"/>
                <w:lang w:val="en-US" w:eastAsia="zh-CN" w:bidi="ar"/>
              </w:rPr>
              <w:t>竞得</w:t>
            </w:r>
            <w:r>
              <w:rPr>
                <w:rFonts w:hint="eastAsia" w:ascii="宋体" w:hAnsi="宋体" w:eastAsia="宋体" w:cs="宋体"/>
                <w:color w:val="auto"/>
                <w:kern w:val="0"/>
                <w:sz w:val="24"/>
                <w:szCs w:val="24"/>
                <w:lang w:val="en-US" w:eastAsia="zh-CN" w:bidi="ar"/>
              </w:rPr>
              <w:t>实施主体</w:t>
            </w:r>
          </w:p>
        </w:tc>
      </w:tr>
      <w:tr w14:paraId="5D1C5E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0" w:type="dxa"/>
        </w:trPr>
        <w:tc>
          <w:tcPr>
            <w:tcW w:w="648" w:type="dxa"/>
            <w:vMerge w:val="continue"/>
            <w:shd w:val="clear" w:color="auto" w:fill="auto"/>
            <w:vAlign w:val="center"/>
          </w:tcPr>
          <w:p w14:paraId="0AE5AD0F">
            <w:pPr>
              <w:rPr>
                <w:rFonts w:hint="eastAsia" w:ascii="宋体"/>
                <w:color w:val="auto"/>
                <w:sz w:val="24"/>
                <w:szCs w:val="24"/>
              </w:rPr>
            </w:pPr>
          </w:p>
        </w:tc>
        <w:tc>
          <w:tcPr>
            <w:tcW w:w="3132" w:type="dxa"/>
            <w:shd w:val="clear" w:color="auto" w:fill="auto"/>
            <w:vAlign w:val="center"/>
          </w:tcPr>
          <w:p w14:paraId="457065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textAlignment w:val="center"/>
              <w:rPr>
                <w:color w:val="auto"/>
              </w:rPr>
            </w:pPr>
            <w:r>
              <w:rPr>
                <w:rFonts w:hint="eastAsia" w:ascii="宋体" w:hAnsi="宋体" w:eastAsia="宋体" w:cs="宋体"/>
                <w:color w:val="auto"/>
                <w:kern w:val="0"/>
                <w:sz w:val="24"/>
                <w:szCs w:val="24"/>
                <w:lang w:val="en-US" w:eastAsia="zh-CN" w:bidi="ar"/>
              </w:rPr>
              <w:t>出库粮食质检报告</w:t>
            </w:r>
          </w:p>
        </w:tc>
        <w:tc>
          <w:tcPr>
            <w:tcW w:w="1452" w:type="dxa"/>
            <w:vMerge w:val="restart"/>
            <w:shd w:val="clear" w:color="auto" w:fill="auto"/>
            <w:vAlign w:val="center"/>
          </w:tcPr>
          <w:p w14:paraId="0B85C9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粮食加工、销售后（原则上次年9月中旬前）</w:t>
            </w:r>
          </w:p>
        </w:tc>
        <w:tc>
          <w:tcPr>
            <w:tcW w:w="2400" w:type="dxa"/>
            <w:shd w:val="clear" w:color="auto" w:fill="auto"/>
            <w:vAlign w:val="center"/>
          </w:tcPr>
          <w:p w14:paraId="6217C3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cs="宋体"/>
                <w:color w:val="auto"/>
                <w:kern w:val="0"/>
                <w:sz w:val="24"/>
                <w:szCs w:val="24"/>
                <w:lang w:val="en-US" w:eastAsia="zh-CN" w:bidi="ar"/>
              </w:rPr>
              <w:t>市</w:t>
            </w:r>
            <w:r>
              <w:rPr>
                <w:rFonts w:hint="eastAsia" w:ascii="宋体" w:hAnsi="宋体" w:eastAsia="宋体" w:cs="宋体"/>
                <w:color w:val="auto"/>
                <w:kern w:val="0"/>
                <w:sz w:val="24"/>
                <w:szCs w:val="24"/>
                <w:lang w:val="en-US" w:eastAsia="zh-CN" w:bidi="ar"/>
              </w:rPr>
              <w:t>粮储公司或</w:t>
            </w:r>
            <w:r>
              <w:rPr>
                <w:rFonts w:hint="eastAsia" w:ascii="宋体" w:hAnsi="宋体" w:cs="宋体"/>
                <w:color w:val="auto"/>
                <w:kern w:val="0"/>
                <w:sz w:val="24"/>
                <w:szCs w:val="24"/>
                <w:lang w:val="en-US" w:eastAsia="zh-CN" w:bidi="ar"/>
              </w:rPr>
              <w:t>竞得</w:t>
            </w:r>
            <w:r>
              <w:rPr>
                <w:rFonts w:hint="eastAsia" w:ascii="宋体" w:hAnsi="宋体" w:eastAsia="宋体" w:cs="宋体"/>
                <w:color w:val="auto"/>
                <w:kern w:val="0"/>
                <w:sz w:val="24"/>
                <w:szCs w:val="24"/>
                <w:lang w:val="en-US" w:eastAsia="zh-CN" w:bidi="ar"/>
              </w:rPr>
              <w:t>实施主体(委托第三方质检机构检测)</w:t>
            </w:r>
          </w:p>
        </w:tc>
      </w:tr>
      <w:tr w14:paraId="6D74EB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0" w:type="dxa"/>
        </w:trPr>
        <w:tc>
          <w:tcPr>
            <w:tcW w:w="648" w:type="dxa"/>
            <w:vMerge w:val="restart"/>
            <w:shd w:val="clear" w:color="auto" w:fill="auto"/>
            <w:vAlign w:val="center"/>
          </w:tcPr>
          <w:p w14:paraId="032A4E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优加</w:t>
            </w:r>
          </w:p>
        </w:tc>
        <w:tc>
          <w:tcPr>
            <w:tcW w:w="3132" w:type="dxa"/>
            <w:shd w:val="clear" w:color="auto" w:fill="auto"/>
            <w:vAlign w:val="center"/>
          </w:tcPr>
          <w:p w14:paraId="128A51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textAlignment w:val="center"/>
              <w:rPr>
                <w:color w:val="auto"/>
              </w:rPr>
            </w:pPr>
            <w:r>
              <w:rPr>
                <w:rFonts w:hint="eastAsia" w:ascii="宋体" w:hAnsi="宋体" w:eastAsia="宋体" w:cs="宋体"/>
                <w:color w:val="auto"/>
                <w:kern w:val="0"/>
                <w:sz w:val="24"/>
                <w:szCs w:val="24"/>
                <w:lang w:val="en-US" w:eastAsia="zh-CN" w:bidi="ar"/>
              </w:rPr>
              <w:t>优质粮食日加工台账</w:t>
            </w:r>
          </w:p>
        </w:tc>
        <w:tc>
          <w:tcPr>
            <w:tcW w:w="1452" w:type="dxa"/>
            <w:vMerge w:val="continue"/>
            <w:shd w:val="clear" w:color="auto" w:fill="auto"/>
            <w:vAlign w:val="center"/>
          </w:tcPr>
          <w:p w14:paraId="25862804">
            <w:pPr>
              <w:rPr>
                <w:rFonts w:hint="eastAsia" w:ascii="宋体"/>
                <w:color w:val="auto"/>
                <w:sz w:val="24"/>
                <w:szCs w:val="24"/>
              </w:rPr>
            </w:pPr>
          </w:p>
        </w:tc>
        <w:tc>
          <w:tcPr>
            <w:tcW w:w="2400" w:type="dxa"/>
            <w:shd w:val="clear" w:color="auto" w:fill="auto"/>
            <w:vAlign w:val="center"/>
          </w:tcPr>
          <w:p w14:paraId="7CFF71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cs="宋体"/>
                <w:color w:val="auto"/>
                <w:kern w:val="0"/>
                <w:sz w:val="24"/>
                <w:szCs w:val="24"/>
                <w:lang w:val="en-US" w:eastAsia="zh-CN" w:bidi="ar"/>
              </w:rPr>
              <w:t>竞得</w:t>
            </w:r>
            <w:r>
              <w:rPr>
                <w:rFonts w:hint="eastAsia" w:ascii="宋体" w:hAnsi="宋体" w:eastAsia="宋体" w:cs="宋体"/>
                <w:color w:val="auto"/>
                <w:kern w:val="0"/>
                <w:sz w:val="24"/>
                <w:szCs w:val="24"/>
                <w:lang w:val="en-US" w:eastAsia="zh-CN" w:bidi="ar"/>
              </w:rPr>
              <w:t>实施主体</w:t>
            </w:r>
          </w:p>
        </w:tc>
      </w:tr>
      <w:tr w14:paraId="2FDD8F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0" w:type="dxa"/>
        </w:trPr>
        <w:tc>
          <w:tcPr>
            <w:tcW w:w="648" w:type="dxa"/>
            <w:vMerge w:val="continue"/>
            <w:shd w:val="clear" w:color="auto" w:fill="auto"/>
            <w:vAlign w:val="center"/>
          </w:tcPr>
          <w:p w14:paraId="0842B6D2">
            <w:pPr>
              <w:rPr>
                <w:rFonts w:hint="eastAsia" w:ascii="宋体"/>
                <w:color w:val="auto"/>
                <w:sz w:val="24"/>
                <w:szCs w:val="24"/>
              </w:rPr>
            </w:pPr>
          </w:p>
        </w:tc>
        <w:tc>
          <w:tcPr>
            <w:tcW w:w="3132" w:type="dxa"/>
            <w:shd w:val="clear" w:color="auto" w:fill="auto"/>
            <w:vAlign w:val="center"/>
          </w:tcPr>
          <w:p w14:paraId="111E95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textAlignment w:val="center"/>
              <w:rPr>
                <w:color w:val="auto"/>
              </w:rPr>
            </w:pPr>
            <w:r>
              <w:rPr>
                <w:rFonts w:hint="eastAsia" w:ascii="宋体" w:hAnsi="宋体" w:eastAsia="宋体" w:cs="宋体"/>
                <w:color w:val="auto"/>
                <w:kern w:val="0"/>
                <w:sz w:val="24"/>
                <w:szCs w:val="24"/>
                <w:lang w:val="en-US" w:eastAsia="zh-CN" w:bidi="ar"/>
              </w:rPr>
              <w:t>食品生产许可证(SC证）</w:t>
            </w:r>
          </w:p>
        </w:tc>
        <w:tc>
          <w:tcPr>
            <w:tcW w:w="1452" w:type="dxa"/>
            <w:vMerge w:val="continue"/>
            <w:shd w:val="clear" w:color="auto" w:fill="auto"/>
            <w:vAlign w:val="center"/>
          </w:tcPr>
          <w:p w14:paraId="0A09374D">
            <w:pPr>
              <w:rPr>
                <w:rFonts w:hint="eastAsia" w:ascii="宋体"/>
                <w:color w:val="auto"/>
                <w:sz w:val="24"/>
                <w:szCs w:val="24"/>
              </w:rPr>
            </w:pPr>
          </w:p>
        </w:tc>
        <w:tc>
          <w:tcPr>
            <w:tcW w:w="2400" w:type="dxa"/>
            <w:shd w:val="clear" w:color="auto" w:fill="auto"/>
            <w:vAlign w:val="center"/>
          </w:tcPr>
          <w:p w14:paraId="0D921B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cs="宋体"/>
                <w:color w:val="auto"/>
                <w:kern w:val="0"/>
                <w:sz w:val="24"/>
                <w:szCs w:val="24"/>
                <w:lang w:val="en-US" w:eastAsia="zh-CN" w:bidi="ar"/>
              </w:rPr>
              <w:t>竞得</w:t>
            </w:r>
            <w:r>
              <w:rPr>
                <w:rFonts w:hint="eastAsia" w:ascii="宋体" w:hAnsi="宋体" w:eastAsia="宋体" w:cs="宋体"/>
                <w:color w:val="auto"/>
                <w:kern w:val="0"/>
                <w:sz w:val="24"/>
                <w:szCs w:val="24"/>
                <w:lang w:val="en-US" w:eastAsia="zh-CN" w:bidi="ar"/>
              </w:rPr>
              <w:t>实施主体</w:t>
            </w:r>
          </w:p>
        </w:tc>
      </w:tr>
      <w:tr w14:paraId="571D04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0" w:type="dxa"/>
        </w:trPr>
        <w:tc>
          <w:tcPr>
            <w:tcW w:w="648" w:type="dxa"/>
            <w:vMerge w:val="continue"/>
            <w:shd w:val="clear" w:color="auto" w:fill="auto"/>
            <w:vAlign w:val="center"/>
          </w:tcPr>
          <w:p w14:paraId="7F06A05F">
            <w:pPr>
              <w:rPr>
                <w:rFonts w:hint="eastAsia" w:ascii="宋体"/>
                <w:color w:val="auto"/>
                <w:sz w:val="24"/>
                <w:szCs w:val="24"/>
              </w:rPr>
            </w:pPr>
          </w:p>
        </w:tc>
        <w:tc>
          <w:tcPr>
            <w:tcW w:w="3132" w:type="dxa"/>
            <w:shd w:val="clear" w:color="auto" w:fill="auto"/>
            <w:vAlign w:val="center"/>
          </w:tcPr>
          <w:p w14:paraId="68B17C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textAlignment w:val="center"/>
              <w:rPr>
                <w:color w:val="auto"/>
              </w:rPr>
            </w:pPr>
            <w:r>
              <w:rPr>
                <w:rFonts w:hint="eastAsia" w:ascii="宋体" w:hAnsi="宋体" w:eastAsia="宋体" w:cs="宋体"/>
                <w:color w:val="auto"/>
                <w:kern w:val="0"/>
                <w:sz w:val="24"/>
                <w:szCs w:val="24"/>
                <w:lang w:val="en-US" w:eastAsia="zh-CN" w:bidi="ar"/>
              </w:rPr>
              <w:t>商标注册证（委托加工的提供以上材料并附委托加工协议）</w:t>
            </w:r>
          </w:p>
        </w:tc>
        <w:tc>
          <w:tcPr>
            <w:tcW w:w="1452" w:type="dxa"/>
            <w:vMerge w:val="continue"/>
            <w:shd w:val="clear" w:color="auto" w:fill="auto"/>
            <w:vAlign w:val="center"/>
          </w:tcPr>
          <w:p w14:paraId="5BAFA307">
            <w:pPr>
              <w:rPr>
                <w:rFonts w:hint="eastAsia" w:ascii="宋体"/>
                <w:color w:val="auto"/>
                <w:sz w:val="24"/>
                <w:szCs w:val="24"/>
              </w:rPr>
            </w:pPr>
          </w:p>
        </w:tc>
        <w:tc>
          <w:tcPr>
            <w:tcW w:w="2400" w:type="dxa"/>
            <w:shd w:val="clear" w:color="auto" w:fill="auto"/>
            <w:vAlign w:val="center"/>
          </w:tcPr>
          <w:p w14:paraId="2EE73C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cs="宋体"/>
                <w:color w:val="auto"/>
                <w:kern w:val="0"/>
                <w:sz w:val="24"/>
                <w:szCs w:val="24"/>
                <w:lang w:val="en-US" w:eastAsia="zh-CN" w:bidi="ar"/>
              </w:rPr>
              <w:t>竞得</w:t>
            </w:r>
            <w:r>
              <w:rPr>
                <w:rFonts w:hint="eastAsia" w:ascii="宋体" w:hAnsi="宋体" w:eastAsia="宋体" w:cs="宋体"/>
                <w:color w:val="auto"/>
                <w:kern w:val="0"/>
                <w:sz w:val="24"/>
                <w:szCs w:val="24"/>
                <w:lang w:val="en-US" w:eastAsia="zh-CN" w:bidi="ar"/>
              </w:rPr>
              <w:t>实施主体</w:t>
            </w:r>
          </w:p>
        </w:tc>
      </w:tr>
      <w:tr w14:paraId="55B3DE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0" w:type="dxa"/>
        </w:trPr>
        <w:tc>
          <w:tcPr>
            <w:tcW w:w="648" w:type="dxa"/>
            <w:shd w:val="clear" w:color="auto" w:fill="auto"/>
            <w:vAlign w:val="center"/>
          </w:tcPr>
          <w:p w14:paraId="2B822D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优销</w:t>
            </w:r>
          </w:p>
        </w:tc>
        <w:tc>
          <w:tcPr>
            <w:tcW w:w="3132" w:type="dxa"/>
            <w:shd w:val="clear" w:color="auto" w:fill="auto"/>
            <w:vAlign w:val="center"/>
          </w:tcPr>
          <w:p w14:paraId="51C113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textAlignment w:val="center"/>
              <w:rPr>
                <w:color w:val="auto"/>
              </w:rPr>
            </w:pPr>
            <w:r>
              <w:rPr>
                <w:rFonts w:hint="eastAsia" w:ascii="宋体" w:hAnsi="宋体" w:eastAsia="宋体" w:cs="宋体"/>
                <w:color w:val="auto"/>
                <w:kern w:val="0"/>
                <w:sz w:val="24"/>
                <w:szCs w:val="24"/>
                <w:lang w:val="en-US" w:eastAsia="zh-CN" w:bidi="ar"/>
              </w:rPr>
              <w:t>优质粮食销售台账，提供若干销售凭证</w:t>
            </w:r>
          </w:p>
        </w:tc>
        <w:tc>
          <w:tcPr>
            <w:tcW w:w="1452" w:type="dxa"/>
            <w:vMerge w:val="continue"/>
            <w:shd w:val="clear" w:color="auto" w:fill="auto"/>
            <w:vAlign w:val="center"/>
          </w:tcPr>
          <w:p w14:paraId="7B9E07A0">
            <w:pPr>
              <w:rPr>
                <w:rFonts w:hint="eastAsia" w:ascii="宋体"/>
                <w:color w:val="auto"/>
                <w:sz w:val="24"/>
                <w:szCs w:val="24"/>
              </w:rPr>
            </w:pPr>
          </w:p>
        </w:tc>
        <w:tc>
          <w:tcPr>
            <w:tcW w:w="2400" w:type="dxa"/>
            <w:shd w:val="clear" w:color="auto" w:fill="auto"/>
            <w:vAlign w:val="center"/>
          </w:tcPr>
          <w:p w14:paraId="22FD25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cs="宋体"/>
                <w:color w:val="auto"/>
                <w:kern w:val="0"/>
                <w:sz w:val="24"/>
                <w:szCs w:val="24"/>
                <w:lang w:val="en-US" w:eastAsia="zh-CN" w:bidi="ar"/>
              </w:rPr>
              <w:t>竞得</w:t>
            </w:r>
            <w:r>
              <w:rPr>
                <w:rFonts w:hint="eastAsia" w:ascii="宋体" w:hAnsi="宋体" w:eastAsia="宋体" w:cs="宋体"/>
                <w:color w:val="auto"/>
                <w:kern w:val="0"/>
                <w:sz w:val="24"/>
                <w:szCs w:val="24"/>
                <w:lang w:val="en-US" w:eastAsia="zh-CN" w:bidi="ar"/>
              </w:rPr>
              <w:t>实施主体</w:t>
            </w:r>
          </w:p>
        </w:tc>
      </w:tr>
    </w:tbl>
    <w:p w14:paraId="30B71D89">
      <w:pPr>
        <w:rPr>
          <w:color w:val="auto"/>
        </w:rPr>
      </w:pPr>
    </w:p>
    <w:p w14:paraId="070B3076">
      <w:pPr>
        <w:spacing w:line="360" w:lineRule="auto"/>
        <w:rPr>
          <w:color w:val="auto"/>
        </w:rPr>
      </w:pPr>
    </w:p>
    <w:sectPr>
      <w:headerReference r:id="rId3" w:type="default"/>
      <w:footerReference r:id="rId4" w:type="default"/>
      <w:pgSz w:w="11906" w:h="16838"/>
      <w:pgMar w:top="1440" w:right="1797" w:bottom="1440" w:left="1797" w:header="851" w:footer="992"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黑体"/>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8AA884">
    <w:pPr>
      <w:pStyle w:val="2"/>
      <w:jc w:val="center"/>
    </w:pPr>
    <w:r>
      <w:fldChar w:fldCharType="begin"/>
    </w:r>
    <w:r>
      <w:instrText xml:space="preserve"> PAGE   \* MERGEFORMAT </w:instrText>
    </w:r>
    <w:r>
      <w:fldChar w:fldCharType="separate"/>
    </w:r>
    <w:r>
      <w:rPr>
        <w:lang w:val="zh-CN"/>
      </w:rPr>
      <w:t>4</w:t>
    </w:r>
    <w:r>
      <w:rPr>
        <w:lang w:val="zh-CN"/>
      </w:rPr>
      <w:fldChar w:fldCharType="end"/>
    </w:r>
  </w:p>
  <w:p w14:paraId="7F1A601B">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334B3A">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449C7E"/>
    <w:multiLevelType w:val="singleLevel"/>
    <w:tmpl w:val="A7449C7E"/>
    <w:lvl w:ilvl="0" w:tentative="0">
      <w:start w:val="1"/>
      <w:numFmt w:val="chineseCounting"/>
      <w:suff w:val="nothing"/>
      <w:lvlText w:val="%1、"/>
      <w:lvlJc w:val="left"/>
      <w:rPr>
        <w:rFonts w:hint="eastAsia"/>
      </w:rPr>
    </w:lvl>
  </w:abstractNum>
  <w:abstractNum w:abstractNumId="1">
    <w:nsid w:val="DCC2AFF8"/>
    <w:multiLevelType w:val="singleLevel"/>
    <w:tmpl w:val="DCC2AFF8"/>
    <w:lvl w:ilvl="0" w:tentative="0">
      <w:start w:val="2"/>
      <w:numFmt w:val="decimal"/>
      <w:suff w:val="nothing"/>
      <w:lvlText w:val="%1、"/>
      <w:lvlJc w:val="left"/>
    </w:lvl>
  </w:abstractNum>
  <w:abstractNum w:abstractNumId="2">
    <w:nsid w:val="E5E10C63"/>
    <w:multiLevelType w:val="singleLevel"/>
    <w:tmpl w:val="E5E10C63"/>
    <w:lvl w:ilvl="0" w:tentative="0">
      <w:start w:val="8"/>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I0NjA1MTIxMzY4YzhkZDVlYzZjMGViOTRjNjk5MTcifQ=="/>
  </w:docVars>
  <w:rsids>
    <w:rsidRoot w:val="00EA628A"/>
    <w:rsid w:val="000F58E8"/>
    <w:rsid w:val="00464E72"/>
    <w:rsid w:val="005B1B0B"/>
    <w:rsid w:val="006276EE"/>
    <w:rsid w:val="00693134"/>
    <w:rsid w:val="006C45AB"/>
    <w:rsid w:val="007F7E0B"/>
    <w:rsid w:val="0092255A"/>
    <w:rsid w:val="00B749AD"/>
    <w:rsid w:val="00C7038A"/>
    <w:rsid w:val="00DA5285"/>
    <w:rsid w:val="00DC4BEE"/>
    <w:rsid w:val="00EA628A"/>
    <w:rsid w:val="00EE0EE4"/>
    <w:rsid w:val="00F103C1"/>
    <w:rsid w:val="00F8335E"/>
    <w:rsid w:val="021241D8"/>
    <w:rsid w:val="02BD7254"/>
    <w:rsid w:val="02C96DD0"/>
    <w:rsid w:val="03625A11"/>
    <w:rsid w:val="065505F1"/>
    <w:rsid w:val="07DD3F81"/>
    <w:rsid w:val="0978083B"/>
    <w:rsid w:val="0CD65A45"/>
    <w:rsid w:val="0E313973"/>
    <w:rsid w:val="0E6E6AC9"/>
    <w:rsid w:val="0FE81E35"/>
    <w:rsid w:val="11032FA4"/>
    <w:rsid w:val="11404737"/>
    <w:rsid w:val="1699229E"/>
    <w:rsid w:val="18247B23"/>
    <w:rsid w:val="18FF22A3"/>
    <w:rsid w:val="1A570FB0"/>
    <w:rsid w:val="1C7D0BCF"/>
    <w:rsid w:val="1D230B17"/>
    <w:rsid w:val="1EFF50AD"/>
    <w:rsid w:val="1F4B0386"/>
    <w:rsid w:val="1F817C6C"/>
    <w:rsid w:val="1F9A7E91"/>
    <w:rsid w:val="225B49EE"/>
    <w:rsid w:val="26C1731B"/>
    <w:rsid w:val="275878ED"/>
    <w:rsid w:val="28D0655D"/>
    <w:rsid w:val="2A4B02FA"/>
    <w:rsid w:val="2B0C0D2B"/>
    <w:rsid w:val="2D906235"/>
    <w:rsid w:val="2F3E3128"/>
    <w:rsid w:val="302E515A"/>
    <w:rsid w:val="33011947"/>
    <w:rsid w:val="35A529C2"/>
    <w:rsid w:val="38F33F35"/>
    <w:rsid w:val="3C467F5E"/>
    <w:rsid w:val="3CFF6EF1"/>
    <w:rsid w:val="3FFF7384"/>
    <w:rsid w:val="43086966"/>
    <w:rsid w:val="499959B2"/>
    <w:rsid w:val="4B862CC7"/>
    <w:rsid w:val="4BDD5BE0"/>
    <w:rsid w:val="4BE85CAF"/>
    <w:rsid w:val="4E6F180A"/>
    <w:rsid w:val="509F0476"/>
    <w:rsid w:val="52132340"/>
    <w:rsid w:val="52322FFE"/>
    <w:rsid w:val="52F97A65"/>
    <w:rsid w:val="53BA7651"/>
    <w:rsid w:val="5514022C"/>
    <w:rsid w:val="56313461"/>
    <w:rsid w:val="570F74CA"/>
    <w:rsid w:val="59DA3F67"/>
    <w:rsid w:val="5A5B04D4"/>
    <w:rsid w:val="5F5D687B"/>
    <w:rsid w:val="63E82D59"/>
    <w:rsid w:val="654F1498"/>
    <w:rsid w:val="65CC4845"/>
    <w:rsid w:val="6BC900B2"/>
    <w:rsid w:val="6BF43996"/>
    <w:rsid w:val="6F3E040D"/>
    <w:rsid w:val="73391ED3"/>
    <w:rsid w:val="74634609"/>
    <w:rsid w:val="74F1720A"/>
    <w:rsid w:val="76150744"/>
    <w:rsid w:val="78515BD6"/>
    <w:rsid w:val="7B6A07B5"/>
    <w:rsid w:val="7C3C1F2E"/>
    <w:rsid w:val="7F1B7FBA"/>
    <w:rsid w:val="A7FFEC87"/>
    <w:rsid w:val="EE49128E"/>
  </w:rsids>
  <m:mathPr>
    <m:mathFont m:val="Cambria Math"/>
    <m:brkBin m:val="before"/>
    <m:brkBinSub m:val="--"/>
    <m:smallFrac m:val="1"/>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99"/>
    <w:pPr>
      <w:tabs>
        <w:tab w:val="center" w:pos="4153"/>
        <w:tab w:val="right" w:pos="8306"/>
      </w:tabs>
      <w:snapToGrid w:val="0"/>
      <w:jc w:val="left"/>
    </w:pPr>
    <w:rPr>
      <w:rFonts w:ascii="Calibri" w:hAnsi="Calibri"/>
      <w:sz w:val="18"/>
      <w:szCs w:val="18"/>
    </w:rPr>
  </w:style>
  <w:style w:type="paragraph" w:styleId="3">
    <w:name w:val="header"/>
    <w:basedOn w:val="1"/>
    <w:link w:val="8"/>
    <w:qFormat/>
    <w:uiPriority w:val="99"/>
    <w:pPr>
      <w:pBdr>
        <w:bottom w:val="single" w:color="auto" w:sz="6" w:space="1"/>
      </w:pBdr>
      <w:tabs>
        <w:tab w:val="center" w:pos="4153"/>
        <w:tab w:val="right" w:pos="8306"/>
      </w:tabs>
      <w:snapToGrid w:val="0"/>
      <w:jc w:val="center"/>
    </w:pPr>
    <w:rPr>
      <w:rFonts w:ascii="Calibri" w:hAnsi="Calibri"/>
      <w:sz w:val="18"/>
      <w:szCs w:val="18"/>
    </w:rPr>
  </w:style>
  <w:style w:type="paragraph" w:styleId="4">
    <w:name w:val="Normal (Web)"/>
    <w:basedOn w:val="1"/>
    <w:qFormat/>
    <w:uiPriority w:val="99"/>
    <w:rPr>
      <w:sz w:val="24"/>
    </w:rPr>
  </w:style>
  <w:style w:type="character" w:customStyle="1" w:styleId="7">
    <w:name w:val="页脚 Char"/>
    <w:basedOn w:val="6"/>
    <w:link w:val="2"/>
    <w:qFormat/>
    <w:locked/>
    <w:uiPriority w:val="99"/>
    <w:rPr>
      <w:rFonts w:cs="Times New Roman"/>
      <w:sz w:val="18"/>
      <w:szCs w:val="18"/>
    </w:rPr>
  </w:style>
  <w:style w:type="character" w:customStyle="1" w:styleId="8">
    <w:name w:val="页眉 Char"/>
    <w:basedOn w:val="6"/>
    <w:link w:val="3"/>
    <w:qFormat/>
    <w:locked/>
    <w:uiPriority w:val="99"/>
    <w:rPr>
      <w:rFonts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6</Pages>
  <Words>3682</Words>
  <Characters>3822</Characters>
  <Lines>21</Lines>
  <Paragraphs>5</Paragraphs>
  <TotalTime>0</TotalTime>
  <ScaleCrop>false</ScaleCrop>
  <LinksUpToDate>false</LinksUpToDate>
  <CharactersWithSpaces>3829</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2022-05-30T00:43:00Z</dcterms:created>
  <dc:creator>zll</dc:creator>
  <cp:lastModifiedBy>叶子</cp:lastModifiedBy>
  <dcterms:modified xsi:type="dcterms:W3CDTF">2025-10-29T07:35:18Z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31C01D55FFD4490BA8BA3A16A7C9359E_13</vt:lpwstr>
  </property>
  <property fmtid="{D5CDD505-2E9C-101B-9397-08002B2CF9AE}" pid="3" name="KSOProductBuildVer">
    <vt:lpwstr>2052-12.1.0.23125</vt:lpwstr>
  </property>
  <property fmtid="{D5CDD505-2E9C-101B-9397-08002B2CF9AE}" pid="4" name="KSOTemplateDocerSaveRecord">
    <vt:lpwstr>eyJoZGlkIjoiMmQxOGEyMzVmNzEyNWFhMTFmOGMyMGYwMmZkMmI4OWYiLCJ1c2VySWQiOiI0NDUwOTgyOTEifQ==</vt:lpwstr>
  </property>
</Properties>
</file>