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3190DB">
      <w:pPr>
        <w:jc w:val="center"/>
        <w:rPr>
          <w:b/>
          <w:sz w:val="32"/>
          <w:szCs w:val="32"/>
        </w:rPr>
      </w:pPr>
      <w:r>
        <w:rPr>
          <w:rFonts w:hint="eastAsia"/>
          <w:b/>
          <w:sz w:val="32"/>
          <w:szCs w:val="32"/>
        </w:rPr>
        <w:t>浙江丽水国家粮食储备库储备粮公开竞价采购交割细则</w:t>
      </w:r>
    </w:p>
    <w:p w14:paraId="5A17E500">
      <w:pPr>
        <w:jc w:val="center"/>
        <w:rPr>
          <w:rFonts w:asciiTheme="minorEastAsia" w:hAnsiTheme="minorEastAsia"/>
          <w:b/>
          <w:sz w:val="28"/>
          <w:szCs w:val="28"/>
        </w:rPr>
      </w:pPr>
      <w:r>
        <w:rPr>
          <w:rFonts w:hint="eastAsia" w:asciiTheme="minorEastAsia" w:hAnsiTheme="minorEastAsia"/>
          <w:b/>
          <w:sz w:val="28"/>
          <w:szCs w:val="28"/>
        </w:rPr>
        <w:t>（国粮浙交</w:t>
      </w:r>
      <w:r>
        <w:rPr>
          <w:rFonts w:asciiTheme="minorEastAsia" w:hAnsiTheme="minorEastAsia"/>
          <w:b/>
          <w:sz w:val="28"/>
          <w:szCs w:val="28"/>
        </w:rPr>
        <w:t>202</w:t>
      </w:r>
      <w:r>
        <w:rPr>
          <w:rFonts w:hint="eastAsia" w:asciiTheme="minorEastAsia" w:hAnsiTheme="minorEastAsia"/>
          <w:b/>
          <w:sz w:val="28"/>
          <w:szCs w:val="28"/>
          <w:lang w:eastAsia="zh-CN"/>
        </w:rPr>
        <w:t>5</w:t>
      </w:r>
      <w:r>
        <w:rPr>
          <w:rFonts w:hint="eastAsia" w:asciiTheme="minorEastAsia" w:hAnsiTheme="minorEastAsia"/>
          <w:b/>
          <w:sz w:val="28"/>
          <w:szCs w:val="28"/>
        </w:rPr>
        <w:t>第</w:t>
      </w:r>
      <w:r>
        <w:rPr>
          <w:rFonts w:hint="eastAsia" w:asciiTheme="minorEastAsia" w:hAnsiTheme="minorEastAsia"/>
          <w:b/>
          <w:sz w:val="28"/>
          <w:szCs w:val="28"/>
          <w:lang w:val="en-US" w:eastAsia="zh-CN"/>
        </w:rPr>
        <w:t>915</w:t>
      </w:r>
      <w:r>
        <w:rPr>
          <w:rFonts w:hint="eastAsia" w:asciiTheme="minorEastAsia" w:hAnsiTheme="minorEastAsia"/>
          <w:b/>
          <w:sz w:val="28"/>
          <w:szCs w:val="28"/>
        </w:rPr>
        <w:t>号）</w:t>
      </w:r>
    </w:p>
    <w:p w14:paraId="1CDC6A90">
      <w:pPr>
        <w:spacing w:beforeLines="50" w:line="560" w:lineRule="exact"/>
        <w:ind w:firstLine="480" w:firstLineChars="200"/>
        <w:rPr>
          <w:rFonts w:ascii="宋体" w:hAnsi="宋体" w:eastAsia="宋体" w:cs="宋体"/>
          <w:sz w:val="24"/>
          <w:szCs w:val="24"/>
        </w:rPr>
      </w:pPr>
      <w:r>
        <w:rPr>
          <w:rFonts w:hint="eastAsia" w:ascii="宋体" w:hAnsi="宋体" w:eastAsia="宋体" w:cs="宋体"/>
          <w:sz w:val="24"/>
          <w:szCs w:val="24"/>
        </w:rPr>
        <w:t>一、数量、产地、质量等要求:</w:t>
      </w:r>
    </w:p>
    <w:p w14:paraId="5EF66B88">
      <w:pPr>
        <w:spacing w:line="56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1、采购202</w:t>
      </w:r>
      <w:r>
        <w:rPr>
          <w:rFonts w:hint="eastAsia" w:ascii="宋体" w:hAnsi="宋体" w:eastAsia="宋体" w:cs="宋体"/>
          <w:sz w:val="24"/>
          <w:szCs w:val="24"/>
          <w:lang w:eastAsia="zh-CN"/>
        </w:rPr>
        <w:t>5</w:t>
      </w:r>
      <w:r>
        <w:rPr>
          <w:rFonts w:hint="eastAsia" w:ascii="宋体" w:hAnsi="宋体" w:eastAsia="宋体" w:cs="宋体"/>
          <w:sz w:val="24"/>
          <w:szCs w:val="24"/>
        </w:rPr>
        <w:t>年产</w:t>
      </w:r>
      <w:r>
        <w:rPr>
          <w:rFonts w:hint="eastAsia" w:ascii="宋体" w:hAnsi="宋体" w:eastAsia="宋体" w:cs="宋体"/>
          <w:sz w:val="24"/>
          <w:szCs w:val="24"/>
          <w:highlight w:val="yellow"/>
          <w:lang w:val="en-US" w:eastAsia="zh-CN"/>
        </w:rPr>
        <w:t>晚</w:t>
      </w:r>
      <w:r>
        <w:rPr>
          <w:rFonts w:hint="eastAsia" w:ascii="宋体" w:hAnsi="宋体" w:eastAsia="宋体" w:cs="宋体"/>
          <w:sz w:val="24"/>
          <w:szCs w:val="24"/>
          <w:highlight w:val="yellow"/>
        </w:rPr>
        <w:t>籼稻谷</w:t>
      </w:r>
      <w:r>
        <w:rPr>
          <w:rFonts w:hint="eastAsia" w:ascii="宋体" w:hAnsi="宋体" w:eastAsia="宋体" w:cs="宋体"/>
          <w:sz w:val="24"/>
          <w:szCs w:val="24"/>
          <w:lang w:val="en-US" w:eastAsia="zh-CN"/>
        </w:rPr>
        <w:t>2900</w:t>
      </w:r>
      <w:r>
        <w:rPr>
          <w:rFonts w:hint="eastAsia" w:ascii="宋体" w:hAnsi="宋体" w:eastAsia="宋体" w:cs="宋体"/>
          <w:sz w:val="24"/>
          <w:szCs w:val="24"/>
        </w:rPr>
        <w:t>吨，设</w:t>
      </w:r>
      <w:r>
        <w:rPr>
          <w:rFonts w:hint="eastAsia" w:ascii="宋体" w:hAnsi="宋体" w:eastAsia="宋体" w:cs="宋体"/>
          <w:sz w:val="24"/>
          <w:szCs w:val="24"/>
          <w:lang w:val="en-US" w:eastAsia="zh-CN"/>
        </w:rPr>
        <w:t>2</w:t>
      </w:r>
      <w:r>
        <w:rPr>
          <w:rFonts w:hint="eastAsia" w:ascii="宋体" w:hAnsi="宋体" w:eastAsia="宋体" w:cs="宋体"/>
          <w:sz w:val="24"/>
          <w:szCs w:val="24"/>
        </w:rPr>
        <w:t>个标段，产地不限，</w:t>
      </w:r>
      <w:r>
        <w:rPr>
          <w:rFonts w:hint="eastAsia" w:ascii="宋体" w:hAnsi="宋体" w:eastAsia="宋体" w:cs="宋体"/>
          <w:sz w:val="24"/>
          <w:szCs w:val="24"/>
          <w:lang w:eastAsia="zh-CN"/>
        </w:rPr>
        <w:t>粒型不限，</w:t>
      </w:r>
      <w:r>
        <w:rPr>
          <w:rFonts w:hint="eastAsia" w:ascii="宋体" w:hAnsi="宋体" w:eastAsia="宋体" w:cs="宋体"/>
          <w:sz w:val="24"/>
          <w:szCs w:val="24"/>
        </w:rPr>
        <w:t>但同一标段稻谷须为</w:t>
      </w:r>
      <w:r>
        <w:rPr>
          <w:rFonts w:hint="eastAsia" w:ascii="宋体" w:hAnsi="宋体" w:eastAsia="宋体" w:cs="宋体"/>
          <w:sz w:val="24"/>
          <w:szCs w:val="24"/>
          <w:highlight w:val="yellow"/>
        </w:rPr>
        <w:t>同一产地</w:t>
      </w:r>
      <w:r>
        <w:rPr>
          <w:rFonts w:hint="eastAsia" w:ascii="宋体" w:hAnsi="宋体" w:eastAsia="宋体" w:cs="宋体"/>
          <w:sz w:val="24"/>
          <w:szCs w:val="24"/>
          <w:highlight w:val="yellow"/>
          <w:lang w:eastAsia="zh-CN"/>
        </w:rPr>
        <w:t>、同一粒型</w:t>
      </w:r>
      <w:r>
        <w:rPr>
          <w:rFonts w:hint="eastAsia" w:ascii="宋体" w:hAnsi="宋体" w:eastAsia="宋体" w:cs="宋体"/>
          <w:sz w:val="24"/>
          <w:szCs w:val="24"/>
        </w:rPr>
        <w:t>。详见交易清单</w:t>
      </w:r>
      <w:r>
        <w:rPr>
          <w:rFonts w:hint="eastAsia" w:ascii="宋体" w:hAnsi="宋体" w:eastAsia="宋体" w:cs="宋体"/>
          <w:sz w:val="24"/>
          <w:szCs w:val="24"/>
          <w:lang w:eastAsia="zh-CN"/>
        </w:rPr>
        <w:t>。</w:t>
      </w:r>
    </w:p>
    <w:p w14:paraId="2C0290B6">
      <w:pPr>
        <w:spacing w:line="560" w:lineRule="exact"/>
        <w:ind w:firstLine="480" w:firstLineChars="200"/>
        <w:rPr>
          <w:rFonts w:ascii="宋体" w:hAnsi="宋体" w:eastAsia="宋体" w:cs="宋体"/>
          <w:sz w:val="24"/>
          <w:szCs w:val="24"/>
        </w:rPr>
      </w:pPr>
      <w:r>
        <w:rPr>
          <w:rFonts w:hint="eastAsia" w:ascii="宋体" w:hAnsi="宋体" w:eastAsia="宋体" w:cs="宋体"/>
          <w:sz w:val="24"/>
          <w:szCs w:val="24"/>
        </w:rPr>
        <w:t>2、按GB1350-2009三等及以上标准执行，其中：出糙率≥75％；整精米率≥44.0％；杂质≤1.0％；水份≤13.5％；黄粒米≤1.0％；谷外糙米≤2.0％；互混率≤5％；色泽、气味正常。脂肪酸值（KOH/干基）≤18mg/100g；</w:t>
      </w:r>
      <w:r>
        <w:rPr>
          <w:rFonts w:hint="eastAsia" w:ascii="宋体" w:hAnsi="宋体" w:eastAsia="宋体" w:cs="宋体"/>
          <w:sz w:val="24"/>
          <w:szCs w:val="24"/>
          <w:highlight w:val="yellow"/>
        </w:rPr>
        <w:t>无陈粮混杂（陈粮指不是202</w:t>
      </w:r>
      <w:r>
        <w:rPr>
          <w:rFonts w:hint="eastAsia" w:ascii="宋体" w:hAnsi="宋体" w:eastAsia="宋体" w:cs="宋体"/>
          <w:sz w:val="24"/>
          <w:szCs w:val="24"/>
          <w:highlight w:val="yellow"/>
          <w:lang w:eastAsia="zh-CN"/>
        </w:rPr>
        <w:t>5</w:t>
      </w:r>
      <w:r>
        <w:rPr>
          <w:rFonts w:hint="eastAsia" w:ascii="宋体" w:hAnsi="宋体" w:eastAsia="宋体" w:cs="宋体"/>
          <w:sz w:val="24"/>
          <w:szCs w:val="24"/>
          <w:highlight w:val="yellow"/>
        </w:rPr>
        <w:t>年当年收获的粮食）</w:t>
      </w:r>
      <w:r>
        <w:rPr>
          <w:rFonts w:hint="eastAsia" w:ascii="宋体" w:hAnsi="宋体" w:eastAsia="宋体" w:cs="宋体"/>
          <w:sz w:val="24"/>
          <w:szCs w:val="24"/>
        </w:rPr>
        <w:t>；基本无虫粮；符合食品安全国家标准；储存品质均达到宜存指标；严禁掺杂使假、以陈顶新。</w:t>
      </w:r>
    </w:p>
    <w:p w14:paraId="2E4625D8">
      <w:pPr>
        <w:spacing w:line="560" w:lineRule="exact"/>
        <w:ind w:firstLine="480"/>
        <w:rPr>
          <w:rFonts w:ascii="宋体" w:hAnsi="宋体" w:eastAsia="宋体" w:cs="宋体"/>
          <w:sz w:val="24"/>
          <w:szCs w:val="24"/>
        </w:rPr>
      </w:pPr>
      <w:r>
        <w:rPr>
          <w:rFonts w:hint="eastAsia" w:ascii="宋体" w:hAnsi="宋体" w:eastAsia="宋体" w:cs="宋体"/>
          <w:sz w:val="24"/>
          <w:szCs w:val="24"/>
        </w:rPr>
        <w:t>3、</w:t>
      </w:r>
      <w:r>
        <w:rPr>
          <w:rFonts w:hint="eastAsia" w:ascii="宋体" w:hAnsi="宋体" w:cs="宋体"/>
          <w:sz w:val="24"/>
        </w:rPr>
        <w:t>竞得方发运的粮食必须符合本细则约定的粒型、质量、储存品质和食品安全相关要求，</w:t>
      </w:r>
      <w:r>
        <w:rPr>
          <w:rFonts w:hint="eastAsia" w:ascii="宋体" w:hAnsi="宋体" w:eastAsia="宋体" w:cs="宋体"/>
          <w:sz w:val="24"/>
          <w:szCs w:val="24"/>
        </w:rPr>
        <w:t>在送货前需向委托方提供具有CMA认证资质的粮油质量检测机构出具的与发运</w:t>
      </w:r>
      <w:r>
        <w:rPr>
          <w:rFonts w:hint="eastAsia" w:ascii="宋体" w:hAnsi="宋体" w:eastAsia="宋体" w:cs="宋体"/>
          <w:sz w:val="24"/>
          <w:szCs w:val="24"/>
          <w:lang w:val="en-US" w:eastAsia="zh-CN"/>
        </w:rPr>
        <w:t>晚</w:t>
      </w:r>
      <w:r>
        <w:rPr>
          <w:rFonts w:hint="eastAsia" w:ascii="宋体" w:hAnsi="宋体" w:eastAsia="宋体" w:cs="宋体"/>
          <w:sz w:val="24"/>
          <w:szCs w:val="24"/>
        </w:rPr>
        <w:t>籼稻谷实物相对应的检验报告(含质量、储存品质及食品安全指标)。</w:t>
      </w:r>
    </w:p>
    <w:p w14:paraId="7CA085D8">
      <w:pPr>
        <w:spacing w:line="560" w:lineRule="exact"/>
        <w:ind w:firstLine="480"/>
        <w:rPr>
          <w:rFonts w:hint="eastAsia" w:ascii="宋体" w:hAnsi="宋体" w:eastAsia="宋体" w:cs="宋体"/>
          <w:sz w:val="24"/>
          <w:szCs w:val="24"/>
          <w:lang w:val="en-US" w:eastAsia="zh-CN"/>
        </w:rPr>
      </w:pPr>
      <w:r>
        <w:rPr>
          <w:rFonts w:hint="eastAsia" w:ascii="宋体" w:hAnsi="宋体" w:eastAsia="宋体" w:cs="宋体"/>
          <w:sz w:val="24"/>
          <w:szCs w:val="24"/>
        </w:rPr>
        <w:t>4、委托方采购的</w:t>
      </w:r>
      <w:r>
        <w:rPr>
          <w:rFonts w:hint="eastAsia" w:ascii="宋体" w:hAnsi="宋体" w:eastAsia="宋体" w:cs="宋体"/>
          <w:sz w:val="24"/>
          <w:szCs w:val="24"/>
          <w:lang w:val="en-US" w:eastAsia="zh-CN"/>
        </w:rPr>
        <w:t>晚</w:t>
      </w:r>
      <w:r>
        <w:rPr>
          <w:rFonts w:hint="eastAsia" w:ascii="宋体" w:hAnsi="宋体" w:eastAsia="宋体" w:cs="宋体"/>
          <w:sz w:val="24"/>
          <w:szCs w:val="24"/>
        </w:rPr>
        <w:t>籼稻谷属净粮，严格按照净粮入库执行，不提供除杂、降水等整理服务，且在粮食入仓前进行一车一检，若发现</w:t>
      </w:r>
      <w:r>
        <w:rPr>
          <w:rFonts w:hint="eastAsia" w:ascii="宋体" w:hAnsi="宋体" w:eastAsia="宋体" w:cs="宋体"/>
          <w:sz w:val="24"/>
          <w:szCs w:val="24"/>
          <w:highlight w:val="yellow"/>
        </w:rPr>
        <w:t>同一标段非同一</w:t>
      </w:r>
      <w:r>
        <w:rPr>
          <w:rFonts w:hint="eastAsia" w:ascii="宋体" w:hAnsi="宋体" w:eastAsia="宋体" w:cs="宋体"/>
          <w:sz w:val="24"/>
          <w:szCs w:val="24"/>
          <w:highlight w:val="yellow"/>
          <w:lang w:val="en-US" w:eastAsia="zh-CN"/>
        </w:rPr>
        <w:t>粒型、同一</w:t>
      </w:r>
      <w:r>
        <w:rPr>
          <w:rFonts w:hint="eastAsia" w:ascii="宋体" w:hAnsi="宋体" w:eastAsia="宋体" w:cs="宋体"/>
          <w:sz w:val="24"/>
          <w:szCs w:val="24"/>
          <w:highlight w:val="yellow"/>
        </w:rPr>
        <w:t>产地</w:t>
      </w:r>
      <w:r>
        <w:rPr>
          <w:rFonts w:hint="eastAsia" w:ascii="宋体" w:hAnsi="宋体" w:eastAsia="宋体" w:cs="宋体"/>
          <w:sz w:val="24"/>
          <w:szCs w:val="24"/>
        </w:rPr>
        <w:t>，</w:t>
      </w:r>
      <w:r>
        <w:rPr>
          <w:rFonts w:hint="eastAsia" w:ascii="宋体" w:hAnsi="宋体" w:eastAsia="宋体" w:cs="宋体"/>
          <w:sz w:val="24"/>
          <w:szCs w:val="24"/>
          <w:highlight w:val="yellow"/>
          <w:lang w:val="en-US" w:eastAsia="zh-CN"/>
        </w:rPr>
        <w:t>有</w:t>
      </w:r>
      <w:r>
        <w:rPr>
          <w:rFonts w:hint="eastAsia" w:ascii="宋体" w:hAnsi="宋体" w:eastAsia="宋体" w:cs="宋体"/>
          <w:sz w:val="24"/>
          <w:szCs w:val="24"/>
          <w:highlight w:val="yellow"/>
        </w:rPr>
        <w:t>陈粮混入</w:t>
      </w:r>
      <w:r>
        <w:rPr>
          <w:rFonts w:hint="eastAsia" w:ascii="宋体" w:hAnsi="宋体" w:eastAsia="宋体" w:cs="宋体"/>
          <w:sz w:val="24"/>
          <w:szCs w:val="24"/>
        </w:rPr>
        <w:t>，超过基本无虫粮等级标准，粮食质量、储存品质和食品安全等指标不符合本细则约定的，作退货处理。重金属（镉）初检疑似不达标的，将按要求上报粮食行政主管部门。请慎重竞价。</w:t>
      </w:r>
    </w:p>
    <w:p w14:paraId="53A8A6E9">
      <w:pPr>
        <w:widowControl/>
        <w:spacing w:line="560" w:lineRule="exact"/>
        <w:ind w:firstLine="480" w:firstLineChars="200"/>
        <w:jc w:val="left"/>
        <w:rPr>
          <w:rFonts w:ascii="宋体" w:hAnsi="宋体"/>
          <w:sz w:val="24"/>
        </w:rPr>
      </w:pPr>
      <w:r>
        <w:rPr>
          <w:rFonts w:hint="eastAsia" w:ascii="宋体" w:hAnsi="宋体"/>
          <w:sz w:val="24"/>
        </w:rPr>
        <w:t>二、交货时间、地点、方式及结算方式等规定：</w:t>
      </w:r>
    </w:p>
    <w:p w14:paraId="05BBCB6B">
      <w:pPr>
        <w:spacing w:line="560" w:lineRule="exact"/>
        <w:ind w:right="31" w:rightChars="15" w:firstLine="480" w:firstLineChars="200"/>
        <w:rPr>
          <w:rFonts w:ascii="宋体" w:hAnsi="宋体" w:eastAsia="宋体" w:cs="宋体"/>
          <w:sz w:val="24"/>
          <w:szCs w:val="24"/>
        </w:rPr>
      </w:pPr>
      <w:r>
        <w:rPr>
          <w:rFonts w:hint="eastAsia" w:ascii="宋体" w:hAnsi="宋体"/>
          <w:sz w:val="24"/>
        </w:rPr>
        <w:t>1、</w:t>
      </w:r>
      <w:r>
        <w:rPr>
          <w:rFonts w:hint="eastAsia" w:ascii="宋体" w:hAnsi="宋体" w:eastAsia="宋体" w:cs="宋体"/>
          <w:sz w:val="24"/>
          <w:szCs w:val="24"/>
        </w:rPr>
        <w:t>竞得方须在</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19</w:t>
      </w:r>
      <w:r>
        <w:rPr>
          <w:rFonts w:hint="eastAsia" w:ascii="宋体" w:hAnsi="宋体" w:eastAsia="宋体" w:cs="宋体"/>
          <w:sz w:val="24"/>
          <w:szCs w:val="24"/>
          <w:highlight w:val="yellow"/>
        </w:rPr>
        <w:t>日</w:t>
      </w:r>
      <w:r>
        <w:rPr>
          <w:rFonts w:hint="eastAsia" w:ascii="宋体" w:hAnsi="宋体" w:eastAsia="宋体" w:cs="宋体"/>
          <w:sz w:val="24"/>
          <w:szCs w:val="24"/>
        </w:rPr>
        <w:t>前（含）签订购销合同（双方协商同意调整除外），交货期限截止到</w:t>
      </w:r>
      <w:r>
        <w:rPr>
          <w:rFonts w:hint="eastAsia" w:ascii="宋体" w:hAnsi="宋体" w:eastAsia="宋体" w:cs="宋体"/>
          <w:sz w:val="24"/>
          <w:szCs w:val="24"/>
          <w:highlight w:val="red"/>
        </w:rPr>
        <w:t>202</w:t>
      </w:r>
      <w:r>
        <w:rPr>
          <w:rFonts w:hint="eastAsia" w:ascii="宋体" w:hAnsi="宋体" w:eastAsia="宋体" w:cs="宋体"/>
          <w:sz w:val="24"/>
          <w:szCs w:val="24"/>
          <w:highlight w:val="red"/>
          <w:lang w:val="en-US" w:eastAsia="zh-CN"/>
        </w:rPr>
        <w:t>5</w:t>
      </w:r>
      <w:r>
        <w:rPr>
          <w:rFonts w:hint="eastAsia" w:ascii="宋体" w:hAnsi="宋体" w:eastAsia="宋体" w:cs="宋体"/>
          <w:sz w:val="24"/>
          <w:szCs w:val="24"/>
          <w:highlight w:val="red"/>
        </w:rPr>
        <w:t>年</w:t>
      </w:r>
      <w:r>
        <w:rPr>
          <w:rFonts w:hint="eastAsia" w:ascii="宋体" w:hAnsi="宋体" w:eastAsia="宋体" w:cs="宋体"/>
          <w:sz w:val="24"/>
          <w:szCs w:val="24"/>
          <w:highlight w:val="red"/>
          <w:lang w:val="en-US" w:eastAsia="zh-CN"/>
        </w:rPr>
        <w:t>12</w:t>
      </w:r>
      <w:r>
        <w:rPr>
          <w:rFonts w:hint="eastAsia" w:ascii="宋体" w:hAnsi="宋体" w:eastAsia="宋体" w:cs="宋体"/>
          <w:sz w:val="24"/>
          <w:szCs w:val="24"/>
          <w:highlight w:val="red"/>
        </w:rPr>
        <w:t>月</w:t>
      </w:r>
      <w:r>
        <w:rPr>
          <w:rFonts w:hint="eastAsia" w:ascii="宋体" w:hAnsi="宋体" w:eastAsia="宋体" w:cs="宋体"/>
          <w:sz w:val="24"/>
          <w:szCs w:val="24"/>
          <w:highlight w:val="red"/>
          <w:lang w:val="en-US" w:eastAsia="zh-CN"/>
        </w:rPr>
        <w:t>2</w:t>
      </w:r>
      <w:r>
        <w:rPr>
          <w:rFonts w:hint="eastAsia" w:ascii="宋体" w:hAnsi="宋体" w:eastAsia="宋体" w:cs="宋体"/>
          <w:sz w:val="24"/>
          <w:szCs w:val="24"/>
          <w:highlight w:val="red"/>
        </w:rPr>
        <w:t>日止</w:t>
      </w:r>
      <w:r>
        <w:rPr>
          <w:rFonts w:hint="eastAsia" w:ascii="宋体" w:hAnsi="宋体" w:eastAsia="宋体" w:cs="宋体"/>
          <w:sz w:val="24"/>
          <w:szCs w:val="24"/>
        </w:rPr>
        <w:t>，交货地点为浙江丽水国家粮食储备库，</w:t>
      </w:r>
      <w:r>
        <w:rPr>
          <w:rFonts w:hint="eastAsia" w:ascii="宋体" w:hAnsi="宋体" w:eastAsia="宋体" w:cs="宋体"/>
          <w:color w:val="000000" w:themeColor="text1"/>
          <w:sz w:val="24"/>
          <w:szCs w:val="24"/>
          <w:highlight w:val="yellow"/>
        </w:rPr>
        <w:t>01标段为</w:t>
      </w:r>
      <w:r>
        <w:rPr>
          <w:rFonts w:hint="eastAsia" w:ascii="宋体" w:hAnsi="宋体" w:eastAsia="宋体" w:cs="宋体"/>
          <w:color w:val="000000" w:themeColor="text1"/>
          <w:sz w:val="24"/>
          <w:szCs w:val="24"/>
          <w:highlight w:val="yellow"/>
          <w:lang w:val="en-US" w:eastAsia="zh-CN"/>
        </w:rPr>
        <w:t>11</w:t>
      </w:r>
      <w:r>
        <w:rPr>
          <w:rFonts w:hint="eastAsia" w:ascii="宋体" w:hAnsi="宋体" w:eastAsia="宋体" w:cs="宋体"/>
          <w:color w:val="000000" w:themeColor="text1"/>
          <w:sz w:val="24"/>
          <w:szCs w:val="24"/>
          <w:highlight w:val="yellow"/>
        </w:rPr>
        <w:t>号仓（</w:t>
      </w:r>
      <w:r>
        <w:rPr>
          <w:rFonts w:hint="eastAsia" w:ascii="宋体" w:hAnsi="宋体" w:eastAsia="宋体" w:cs="宋体"/>
          <w:color w:val="000000" w:themeColor="text1"/>
          <w:sz w:val="24"/>
          <w:szCs w:val="24"/>
          <w:highlight w:val="yellow"/>
          <w:lang w:val="en-US" w:eastAsia="zh-CN"/>
        </w:rPr>
        <w:t>1450</w:t>
      </w:r>
      <w:r>
        <w:rPr>
          <w:rFonts w:hint="eastAsia" w:ascii="宋体" w:hAnsi="宋体" w:eastAsia="宋体" w:cs="宋体"/>
          <w:color w:val="000000" w:themeColor="text1"/>
          <w:sz w:val="24"/>
          <w:szCs w:val="24"/>
          <w:highlight w:val="yellow"/>
        </w:rPr>
        <w:t>吨）</w:t>
      </w:r>
      <w:r>
        <w:rPr>
          <w:rFonts w:hint="eastAsia" w:ascii="宋体" w:hAnsi="宋体" w:eastAsia="宋体" w:cs="宋体"/>
          <w:color w:val="000000" w:themeColor="text1"/>
          <w:sz w:val="24"/>
          <w:szCs w:val="24"/>
          <w:highlight w:val="yellow"/>
          <w:lang w:eastAsia="zh-CN"/>
        </w:rPr>
        <w:t>、</w:t>
      </w:r>
      <w:r>
        <w:rPr>
          <w:rFonts w:hint="eastAsia" w:ascii="宋体" w:hAnsi="宋体" w:eastAsia="宋体" w:cs="宋体"/>
          <w:color w:val="000000" w:themeColor="text1"/>
          <w:sz w:val="24"/>
          <w:szCs w:val="24"/>
          <w:highlight w:val="yellow"/>
        </w:rPr>
        <w:t>0</w:t>
      </w:r>
      <w:r>
        <w:rPr>
          <w:rFonts w:hint="eastAsia" w:ascii="宋体" w:hAnsi="宋体" w:eastAsia="宋体" w:cs="宋体"/>
          <w:color w:val="000000" w:themeColor="text1"/>
          <w:sz w:val="24"/>
          <w:szCs w:val="24"/>
          <w:highlight w:val="yellow"/>
          <w:lang w:val="en-US" w:eastAsia="zh-CN"/>
        </w:rPr>
        <w:t>2</w:t>
      </w:r>
      <w:r>
        <w:rPr>
          <w:rFonts w:hint="eastAsia" w:ascii="宋体" w:hAnsi="宋体" w:eastAsia="宋体" w:cs="宋体"/>
          <w:color w:val="000000" w:themeColor="text1"/>
          <w:sz w:val="24"/>
          <w:szCs w:val="24"/>
          <w:highlight w:val="yellow"/>
        </w:rPr>
        <w:t>标段为</w:t>
      </w:r>
      <w:r>
        <w:rPr>
          <w:rFonts w:hint="eastAsia" w:ascii="宋体" w:hAnsi="宋体" w:eastAsia="宋体" w:cs="宋体"/>
          <w:color w:val="000000" w:themeColor="text1"/>
          <w:sz w:val="24"/>
          <w:szCs w:val="24"/>
          <w:highlight w:val="yellow"/>
          <w:lang w:val="en-US" w:eastAsia="zh-CN"/>
        </w:rPr>
        <w:t>14</w:t>
      </w:r>
      <w:r>
        <w:rPr>
          <w:rFonts w:hint="eastAsia" w:ascii="宋体" w:hAnsi="宋体" w:eastAsia="宋体" w:cs="宋体"/>
          <w:color w:val="000000" w:themeColor="text1"/>
          <w:sz w:val="24"/>
          <w:szCs w:val="24"/>
          <w:highlight w:val="yellow"/>
        </w:rPr>
        <w:t>号仓（</w:t>
      </w:r>
      <w:r>
        <w:rPr>
          <w:rFonts w:hint="eastAsia" w:ascii="宋体" w:hAnsi="宋体" w:eastAsia="宋体" w:cs="宋体"/>
          <w:color w:val="000000" w:themeColor="text1"/>
          <w:sz w:val="24"/>
          <w:szCs w:val="24"/>
          <w:highlight w:val="yellow"/>
          <w:lang w:val="en-US" w:eastAsia="zh-CN"/>
        </w:rPr>
        <w:t>1450</w:t>
      </w:r>
      <w:r>
        <w:rPr>
          <w:rFonts w:hint="eastAsia" w:ascii="宋体" w:hAnsi="宋体" w:eastAsia="宋体" w:cs="宋体"/>
          <w:color w:val="000000" w:themeColor="text1"/>
          <w:sz w:val="24"/>
          <w:szCs w:val="24"/>
          <w:highlight w:val="yellow"/>
        </w:rPr>
        <w:t>吨）。</w:t>
      </w:r>
      <w:r>
        <w:rPr>
          <w:rFonts w:hint="eastAsia" w:ascii="宋体" w:hAnsi="宋体" w:eastAsia="宋体" w:cs="宋体"/>
          <w:color w:val="000000" w:themeColor="text1"/>
          <w:kern w:val="0"/>
          <w:sz w:val="24"/>
          <w:szCs w:val="24"/>
          <w:highlight w:val="none"/>
        </w:rPr>
        <w:t>交货时间</w:t>
      </w:r>
      <w:r>
        <w:rPr>
          <w:rFonts w:hint="eastAsia" w:ascii="宋体" w:hAnsi="宋体" w:eastAsia="宋体" w:cs="宋体"/>
          <w:kern w:val="0"/>
          <w:sz w:val="24"/>
          <w:szCs w:val="24"/>
        </w:rPr>
        <w:t>超过截止期限，按标段数量2元/吨</w:t>
      </w:r>
      <w:r>
        <w:rPr>
          <w:rFonts w:ascii="微软雅黑" w:hAnsi="微软雅黑" w:eastAsia="微软雅黑" w:cs="微软雅黑"/>
          <w:sz w:val="18"/>
          <w:szCs w:val="18"/>
          <w:shd w:val="clear" w:color="auto" w:fill="FFFFFF"/>
        </w:rPr>
        <w:t>•</w:t>
      </w:r>
      <w:r>
        <w:rPr>
          <w:rFonts w:hint="eastAsia" w:ascii="宋体" w:hAnsi="宋体" w:eastAsia="宋体" w:cs="宋体"/>
          <w:kern w:val="0"/>
          <w:sz w:val="24"/>
          <w:szCs w:val="24"/>
        </w:rPr>
        <w:t>天的标准收取滞纳金，超过5天的按违约处理，委托方有权终止履行合同。</w:t>
      </w:r>
      <w:r>
        <w:rPr>
          <w:rFonts w:hint="eastAsia" w:ascii="宋体" w:hAnsi="宋体" w:eastAsia="宋体" w:cs="宋体"/>
          <w:sz w:val="24"/>
          <w:szCs w:val="24"/>
        </w:rPr>
        <w:t>逾期送货或未按期完成送货量由竞得方承担相应违约责任，如遇不可抗力，需要暂缓供货的，经竞得方提供真实证明后，双方另行协商。</w:t>
      </w:r>
    </w:p>
    <w:p w14:paraId="3C37F163">
      <w:pPr>
        <w:spacing w:line="560" w:lineRule="exact"/>
        <w:ind w:firstLine="480" w:firstLineChars="200"/>
        <w:rPr>
          <w:rFonts w:ascii="宋体" w:hAnsi="宋体" w:eastAsia="宋体" w:cs="宋体"/>
          <w:sz w:val="24"/>
          <w:szCs w:val="24"/>
        </w:rPr>
      </w:pPr>
      <w:r>
        <w:rPr>
          <w:rFonts w:hint="eastAsia" w:ascii="宋体" w:hAnsi="宋体" w:eastAsia="宋体" w:cs="宋体"/>
          <w:sz w:val="24"/>
          <w:szCs w:val="24"/>
        </w:rPr>
        <w:t>2、委托方每天工作时间为8：30 至 16：30 ，每日安排接货最大数量为 200 吨，不具备集装箱抽样能力。交货期限包括平常休息日，在此时间内，委托方不得拒接或拖延办理交割手续。竞得方送货前必须事先与委托方协商确定送货时间及数量，安排的送货车辆要求为散装运输，</w:t>
      </w:r>
      <w:r>
        <w:rPr>
          <w:rFonts w:hint="eastAsia" w:ascii="宋体" w:hAnsi="宋体" w:eastAsia="宋体" w:cs="Tahoma"/>
          <w:sz w:val="24"/>
        </w:rPr>
        <w:t>配有专用卸粮口，且便于委托方抽样化验，车身不得长于16米，载货后重量不得大于80吨，车辆物流费用及超载、超限引发的相关责任和费用均由竞得方承担。</w:t>
      </w:r>
      <w:r>
        <w:rPr>
          <w:rFonts w:hint="eastAsia" w:ascii="宋体" w:hAnsi="宋体" w:eastAsia="宋体" w:cs="宋体"/>
          <w:sz w:val="24"/>
          <w:szCs w:val="24"/>
        </w:rPr>
        <w:t>委托方</w:t>
      </w:r>
      <w:r>
        <w:rPr>
          <w:rFonts w:hint="eastAsia" w:ascii="宋体" w:hAnsi="宋体" w:cs="宋体"/>
          <w:sz w:val="24"/>
          <w:szCs w:val="24"/>
        </w:rPr>
        <w:t>对具体调运安排</w:t>
      </w:r>
      <w:r>
        <w:rPr>
          <w:rFonts w:hint="eastAsia" w:ascii="宋体" w:hAnsi="宋体" w:eastAsia="宋体" w:cs="宋体"/>
          <w:sz w:val="24"/>
          <w:szCs w:val="24"/>
        </w:rPr>
        <w:t>应予短信或书面明确答复，自答复之日起计算，竞得方必须在3个工作日内根据实际情况安排送货。</w:t>
      </w:r>
    </w:p>
    <w:p w14:paraId="5F75206B">
      <w:pPr>
        <w:spacing w:line="560" w:lineRule="exact"/>
        <w:ind w:firstLine="480" w:firstLineChars="200"/>
        <w:rPr>
          <w:rFonts w:ascii="宋体" w:hAnsi="宋体" w:eastAsia="宋体" w:cs="宋体"/>
          <w:kern w:val="0"/>
          <w:sz w:val="24"/>
          <w:szCs w:val="24"/>
        </w:rPr>
      </w:pPr>
      <w:r>
        <w:rPr>
          <w:rFonts w:hint="eastAsia" w:ascii="宋体" w:hAnsi="宋体" w:eastAsia="宋体" w:cs="Tahoma"/>
          <w:sz w:val="24"/>
        </w:rPr>
        <w:t>3、来粮经委托方抽样化验（初验），符合标准要求后过磅称重接收入库。若初验中有一项指标未达到本细则约定要求的，就判定为不合格退货处理，竞得方对检验结果存有异议的，可由双方共同</w:t>
      </w:r>
      <w:r>
        <w:rPr>
          <w:rFonts w:hint="eastAsia" w:ascii="宋体" w:hAnsi="宋体" w:eastAsia="宋体" w:cs="宋体"/>
          <w:sz w:val="24"/>
          <w:szCs w:val="24"/>
        </w:rPr>
        <w:t>抽样送往丽水市质</w:t>
      </w:r>
      <w:r>
        <w:rPr>
          <w:rFonts w:hint="eastAsia" w:ascii="宋体" w:hAnsi="宋体" w:eastAsia="宋体" w:cs="Tahoma"/>
          <w:sz w:val="24"/>
        </w:rPr>
        <w:t>量检验检测研究院检验，并以此检测结果为准，不得再提出任何异议，检验费用由责任方承担，其他费用包括但不限于因此造成的车辆运输费、驾驶员工资和食宿费等均由竞得方承担；</w:t>
      </w:r>
      <w:r>
        <w:rPr>
          <w:rFonts w:hint="eastAsia" w:asciiTheme="minorEastAsia" w:hAnsiTheme="minorEastAsia" w:cstheme="minorEastAsia"/>
          <w:sz w:val="24"/>
          <w:szCs w:val="24"/>
        </w:rPr>
        <w:t>结算数量以实际入库过磅数量为准</w:t>
      </w:r>
      <w:r>
        <w:rPr>
          <w:rFonts w:hint="eastAsia" w:ascii="宋体" w:hAnsi="宋体" w:eastAsia="宋体" w:cs="宋体"/>
          <w:kern w:val="0"/>
          <w:sz w:val="24"/>
          <w:szCs w:val="24"/>
        </w:rPr>
        <w:t>。</w:t>
      </w:r>
    </w:p>
    <w:p w14:paraId="28B36FE9">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4、双方自行结算货款。粮食入库后，竞得方以500吨为一批次到浙江丽水国家粮食储备库财务科结算(委托方有特殊情况可适当延时支付，一般不超过5个工作日)。预付货款至总货款70%，剩下的30%</w:t>
      </w:r>
      <w:r>
        <w:rPr>
          <w:rFonts w:hint="eastAsia" w:ascii="宋体" w:hAnsi="宋体" w:eastAsia="宋体" w:cs="Tahoma"/>
          <w:sz w:val="24"/>
        </w:rPr>
        <w:t>经丽水市质量检验检测研究院进行质量安全验收检验（终验）</w:t>
      </w:r>
      <w:r>
        <w:rPr>
          <w:rFonts w:hint="eastAsia" w:ascii="宋体" w:hAnsi="宋体" w:eastAsia="宋体" w:cs="宋体"/>
          <w:kern w:val="0"/>
          <w:sz w:val="24"/>
          <w:szCs w:val="24"/>
        </w:rPr>
        <w:t>，符合本细则约定的质量、品质和食品安全标准要求后结清。</w:t>
      </w:r>
      <w:r>
        <w:rPr>
          <w:rFonts w:hint="eastAsia" w:ascii="宋体" w:hAnsi="宋体" w:cs="Tahoma"/>
          <w:sz w:val="24"/>
        </w:rPr>
        <w:t>竞得方应在交付粮食终验合格后及委托方支付剩余30%款项前，及时开具符合要求的总价款税票。</w:t>
      </w:r>
    </w:p>
    <w:p w14:paraId="2BA2CBA0">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sz w:val="24"/>
          <w:szCs w:val="24"/>
        </w:rPr>
        <w:t>5、履约保证金结算：入库粮食若通过质量安全验收检验（终验），</w:t>
      </w:r>
      <w:r>
        <w:rPr>
          <w:rFonts w:hint="eastAsia" w:ascii="宋体" w:hAnsi="宋体" w:eastAsia="宋体" w:cs="宋体"/>
          <w:color w:val="000000" w:themeColor="text1"/>
          <w:sz w:val="24"/>
          <w:szCs w:val="24"/>
        </w:rPr>
        <w:t>委托方出具</w:t>
      </w:r>
      <w:r>
        <w:rPr>
          <w:rFonts w:hint="eastAsia" w:ascii="宋体" w:hAnsi="宋体" w:eastAsia="宋体" w:cs="宋体"/>
          <w:kern w:val="0"/>
          <w:sz w:val="24"/>
          <w:szCs w:val="24"/>
        </w:rPr>
        <w:t>履约完毕通知书，全额退还竞得方履约保证金；若验收不合格，竞得方需在一个月内用同等数量且符合本细则要求的粮食进行更换，由此产生的一切责任和损失由竞得方承担，换货约定期限内，不收取滞纳金。若竞得方未在规定时间内更换到位的，委托方有权没收竞得方相应标段的履约保证金。</w:t>
      </w:r>
    </w:p>
    <w:p w14:paraId="2B42A3D7">
      <w:pPr>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三、重要说明：</w:t>
      </w:r>
    </w:p>
    <w:p w14:paraId="1D71621A">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1、本次竞价交易粮食的起始价及成交价均指粮食送到指定接收库点仓库前的车板价格(含税含发票含运费)。</w:t>
      </w:r>
    </w:p>
    <w:p w14:paraId="3FC739AB">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2、交割数量以交割验收库点地磅检斤为准（不执行数量、价格增扣）。</w:t>
      </w:r>
    </w:p>
    <w:p w14:paraId="000383B5">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3、竞得方</w:t>
      </w:r>
      <w:bookmarkStart w:id="0" w:name="_GoBack"/>
      <w:bookmarkEnd w:id="0"/>
      <w:r>
        <w:rPr>
          <w:rFonts w:hint="eastAsia" w:ascii="宋体" w:hAnsi="宋体" w:eastAsia="宋体" w:cs="宋体"/>
          <w:kern w:val="0"/>
          <w:sz w:val="24"/>
          <w:szCs w:val="24"/>
        </w:rPr>
        <w:t>送货时，应派员(竞得方出具委托函)到指定验收库点监磅、确认数量和入库仓号并协调入库事宜，如不派员视同认可委托方过磅记录。</w:t>
      </w:r>
    </w:p>
    <w:p w14:paraId="32D2BC45">
      <w:pPr>
        <w:spacing w:line="48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4、</w:t>
      </w:r>
      <w:r>
        <w:rPr>
          <w:rFonts w:hint="eastAsia" w:ascii="宋体" w:hAnsi="宋体" w:eastAsia="宋体" w:cs="宋体"/>
          <w:sz w:val="24"/>
          <w:szCs w:val="24"/>
        </w:rPr>
        <w:t>委托方指定汇款账户：户名：浙江处州仓储实业有限责任公司；开户行：农发行丽水市分行；银行账号：20333119900100000003461。</w:t>
      </w:r>
    </w:p>
    <w:p w14:paraId="46F385BE">
      <w:pPr>
        <w:widowControl/>
        <w:spacing w:line="560" w:lineRule="exact"/>
        <w:ind w:firstLine="480" w:firstLineChars="200"/>
        <w:jc w:val="left"/>
        <w:rPr>
          <w:rFonts w:ascii="宋体" w:hAnsi="宋体" w:eastAsia="宋体" w:cs="宋体"/>
          <w:kern w:val="0"/>
          <w:sz w:val="24"/>
          <w:szCs w:val="24"/>
          <w:highlight w:val="yellow"/>
        </w:rPr>
      </w:pPr>
      <w:r>
        <w:rPr>
          <w:rFonts w:hint="eastAsia" w:ascii="宋体" w:hAnsi="宋体" w:eastAsia="宋体" w:cs="宋体"/>
          <w:kern w:val="0"/>
          <w:sz w:val="24"/>
          <w:szCs w:val="24"/>
          <w:highlight w:val="yellow"/>
        </w:rPr>
        <w:t>5、</w:t>
      </w:r>
      <w:r>
        <w:rPr>
          <w:rFonts w:hint="eastAsia" w:ascii="宋体" w:hAnsi="宋体"/>
          <w:sz w:val="24"/>
          <w:highlight w:val="yellow"/>
        </w:rPr>
        <w:t>竞得方发货前</w:t>
      </w:r>
      <w:r>
        <w:rPr>
          <w:rFonts w:hint="eastAsia" w:ascii="宋体" w:hAnsi="宋体" w:eastAsia="宋体" w:cs="宋体"/>
          <w:kern w:val="0"/>
          <w:sz w:val="24"/>
          <w:szCs w:val="24"/>
          <w:highlight w:val="yellow"/>
        </w:rPr>
        <w:t>须向委托方提供履约承诺书一份。</w:t>
      </w:r>
    </w:p>
    <w:p w14:paraId="5413FFE7">
      <w:pPr>
        <w:spacing w:line="560" w:lineRule="exact"/>
        <w:ind w:firstLine="480" w:firstLineChars="200"/>
        <w:jc w:val="left"/>
        <w:rPr>
          <w:rFonts w:ascii="宋体" w:hAnsi="宋体" w:eastAsia="宋体" w:cs="宋体"/>
          <w:kern w:val="0"/>
          <w:sz w:val="24"/>
          <w:szCs w:val="24"/>
        </w:rPr>
      </w:pPr>
    </w:p>
    <w:p w14:paraId="25FABE1D">
      <w:pPr>
        <w:spacing w:line="560" w:lineRule="exact"/>
        <w:ind w:firstLine="480" w:firstLineChars="200"/>
        <w:jc w:val="left"/>
        <w:rPr>
          <w:rFonts w:ascii="宋体" w:hAnsi="宋体" w:eastAsia="宋体" w:cs="宋体"/>
          <w:kern w:val="0"/>
          <w:sz w:val="24"/>
          <w:szCs w:val="24"/>
        </w:rPr>
      </w:pPr>
    </w:p>
    <w:p w14:paraId="5B9367DD">
      <w:pPr>
        <w:spacing w:line="560" w:lineRule="exact"/>
        <w:ind w:firstLine="480" w:firstLineChars="200"/>
        <w:jc w:val="left"/>
        <w:rPr>
          <w:rFonts w:ascii="宋体" w:hAnsi="宋体" w:eastAsia="宋体" w:cs="宋体"/>
          <w:kern w:val="0"/>
          <w:sz w:val="24"/>
          <w:szCs w:val="24"/>
        </w:rPr>
      </w:pPr>
    </w:p>
    <w:p w14:paraId="69864813">
      <w:pPr>
        <w:widowControl/>
        <w:spacing w:line="560" w:lineRule="exact"/>
        <w:ind w:firstLine="4320" w:firstLineChars="1800"/>
        <w:jc w:val="left"/>
        <w:rPr>
          <w:rFonts w:ascii="宋体" w:hAnsi="宋体" w:eastAsia="宋体" w:cs="宋体"/>
          <w:kern w:val="0"/>
          <w:sz w:val="24"/>
          <w:szCs w:val="24"/>
        </w:rPr>
      </w:pPr>
      <w:r>
        <w:rPr>
          <w:rFonts w:hint="eastAsia" w:ascii="宋体" w:hAnsi="宋体" w:eastAsia="宋体" w:cs="宋体"/>
          <w:kern w:val="0"/>
          <w:sz w:val="24"/>
          <w:szCs w:val="24"/>
        </w:rPr>
        <w:t>国家粮食浙江交易中心丽水分中心</w:t>
      </w:r>
    </w:p>
    <w:p w14:paraId="5E837C9B">
      <w:pPr>
        <w:widowControl/>
        <w:spacing w:line="560" w:lineRule="exact"/>
        <w:ind w:firstLine="4800" w:firstLineChars="2000"/>
        <w:jc w:val="left"/>
        <w:rPr>
          <w:rFonts w:ascii="宋体" w:hAnsi="宋体" w:eastAsia="宋体" w:cs="宋体"/>
          <w:kern w:val="0"/>
          <w:sz w:val="24"/>
          <w:szCs w:val="24"/>
        </w:rPr>
      </w:pPr>
      <w:r>
        <w:rPr>
          <w:rFonts w:hint="eastAsia" w:ascii="宋体" w:hAnsi="宋体" w:eastAsia="宋体" w:cs="宋体"/>
          <w:kern w:val="0"/>
          <w:sz w:val="24"/>
          <w:szCs w:val="24"/>
        </w:rPr>
        <w:t>国家粮食浙江交易中心</w:t>
      </w:r>
    </w:p>
    <w:p w14:paraId="3535B1F6">
      <w:pPr>
        <w:widowControl/>
        <w:spacing w:line="560" w:lineRule="exact"/>
        <w:ind w:firstLine="4800" w:firstLineChars="2000"/>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二〇二</w:t>
      </w:r>
      <w:r>
        <w:rPr>
          <w:rFonts w:hint="eastAsia" w:ascii="宋体" w:hAnsi="宋体" w:eastAsia="宋体" w:cs="宋体"/>
          <w:kern w:val="0"/>
          <w:sz w:val="24"/>
          <w:szCs w:val="24"/>
          <w:highlight w:val="none"/>
          <w:lang w:eastAsia="zh-CN"/>
        </w:rPr>
        <w:t>五</w:t>
      </w:r>
      <w:r>
        <w:rPr>
          <w:rFonts w:hint="eastAsia" w:ascii="宋体" w:hAnsi="宋体" w:eastAsia="宋体" w:cs="宋体"/>
          <w:kern w:val="0"/>
          <w:sz w:val="24"/>
          <w:szCs w:val="24"/>
          <w:highlight w:val="none"/>
        </w:rPr>
        <w:t>年</w:t>
      </w:r>
      <w:r>
        <w:rPr>
          <w:rFonts w:hint="eastAsia" w:ascii="宋体" w:hAnsi="宋体" w:eastAsia="宋体" w:cs="宋体"/>
          <w:kern w:val="0"/>
          <w:sz w:val="24"/>
          <w:szCs w:val="24"/>
          <w:highlight w:val="none"/>
          <w:lang w:val="en-US" w:eastAsia="zh-CN"/>
        </w:rPr>
        <w:t>十一</w:t>
      </w:r>
      <w:r>
        <w:rPr>
          <w:rFonts w:hint="eastAsia" w:ascii="宋体" w:hAnsi="宋体" w:eastAsia="宋体" w:cs="宋体"/>
          <w:kern w:val="0"/>
          <w:sz w:val="24"/>
          <w:szCs w:val="24"/>
          <w:highlight w:val="none"/>
        </w:rPr>
        <w:t>月</w:t>
      </w:r>
      <w:r>
        <w:rPr>
          <w:rFonts w:hint="eastAsia" w:ascii="宋体" w:hAnsi="宋体" w:eastAsia="宋体" w:cs="宋体"/>
          <w:kern w:val="0"/>
          <w:sz w:val="24"/>
          <w:szCs w:val="24"/>
          <w:highlight w:val="none"/>
          <w:lang w:val="en-US" w:eastAsia="zh-CN"/>
        </w:rPr>
        <w:t>五</w:t>
      </w:r>
      <w:r>
        <w:rPr>
          <w:rFonts w:hint="eastAsia" w:ascii="宋体" w:hAnsi="宋体" w:eastAsia="宋体" w:cs="宋体"/>
          <w:kern w:val="0"/>
          <w:sz w:val="24"/>
          <w:szCs w:val="24"/>
          <w:highlight w:val="none"/>
        </w:rPr>
        <w:t>日</w:t>
      </w:r>
    </w:p>
    <w:p w14:paraId="769C1234">
      <w:pPr>
        <w:widowControl/>
        <w:spacing w:line="560" w:lineRule="exact"/>
        <w:ind w:firstLine="480" w:firstLineChars="200"/>
        <w:jc w:val="left"/>
        <w:rPr>
          <w:rFonts w:ascii="宋体" w:hAnsi="宋体" w:eastAsia="宋体" w:cs="宋体"/>
          <w:kern w:val="0"/>
          <w:sz w:val="24"/>
          <w:szCs w:val="24"/>
          <w:highlight w:val="yellow"/>
        </w:rPr>
      </w:pPr>
    </w:p>
    <w:p w14:paraId="4235B653"/>
    <w:sectPr>
      <w:footerReference r:id="rId3" w:type="default"/>
      <w:pgSz w:w="11906" w:h="16838"/>
      <w:pgMar w:top="1440" w:right="1800"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46AF9">
    <w:pPr>
      <w:pStyle w:val="3"/>
    </w:pPr>
    <w:r>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">
          <v:path/>
          <v:fill on="f" focussize="0,0"/>
          <v:stroke on="f" joinstyle="miter"/>
          <v:imagedata o:title=""/>
          <o:lock v:ext="edit"/>
          <v:textbox inset="0mm,0mm,0mm,0mm" style="mso-fit-shape-to-text:t;">
            <w:txbxContent>
              <w:p w14:paraId="253CCFAA">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TkxNWQ4MjgxNTdlMmNlOTBmNmI0MWE1OGRiMjY5NjgifQ=="/>
  </w:docVars>
  <w:rsids>
    <w:rsidRoot w:val="00C43BC9"/>
    <w:rsid w:val="000F0471"/>
    <w:rsid w:val="00312F44"/>
    <w:rsid w:val="00575015"/>
    <w:rsid w:val="00831B75"/>
    <w:rsid w:val="009932F5"/>
    <w:rsid w:val="00BB3D61"/>
    <w:rsid w:val="00C32BFA"/>
    <w:rsid w:val="00C43BC9"/>
    <w:rsid w:val="00D35034"/>
    <w:rsid w:val="00EF4AC2"/>
    <w:rsid w:val="04FF3D0E"/>
    <w:rsid w:val="0AB07050"/>
    <w:rsid w:val="1A4816F9"/>
    <w:rsid w:val="1C5E4E72"/>
    <w:rsid w:val="203A6A7C"/>
    <w:rsid w:val="21712FBB"/>
    <w:rsid w:val="23FA2ADC"/>
    <w:rsid w:val="28BF3AA8"/>
    <w:rsid w:val="32B95112"/>
    <w:rsid w:val="39277E9E"/>
    <w:rsid w:val="396E2B94"/>
    <w:rsid w:val="3AE12DF1"/>
    <w:rsid w:val="3EAB29AE"/>
    <w:rsid w:val="44D46BD8"/>
    <w:rsid w:val="491C68F1"/>
    <w:rsid w:val="49385F78"/>
    <w:rsid w:val="4F346466"/>
    <w:rsid w:val="57FD4137"/>
    <w:rsid w:val="59A16DA5"/>
    <w:rsid w:val="60CC28BD"/>
    <w:rsid w:val="616305D7"/>
    <w:rsid w:val="638433A3"/>
    <w:rsid w:val="65A91279"/>
    <w:rsid w:val="707E4BD4"/>
    <w:rsid w:val="73970A69"/>
    <w:rsid w:val="75A445BD"/>
    <w:rsid w:val="77094DB4"/>
    <w:rsid w:val="78A6069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qFormat/>
    <w:uiPriority w:val="0"/>
    <w:rPr>
      <w:sz w:val="18"/>
      <w:szCs w:val="18"/>
    </w:r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link w:val="7"/>
    <w:qFormat/>
    <w:uiPriority w:val="0"/>
    <w:pPr>
      <w:tabs>
        <w:tab w:val="center" w:pos="4153"/>
        <w:tab w:val="right" w:pos="8306"/>
      </w:tabs>
      <w:snapToGrid w:val="0"/>
      <w:jc w:val="center"/>
    </w:pPr>
    <w:rPr>
      <w:sz w:val="18"/>
      <w:szCs w:val="18"/>
    </w:rPr>
  </w:style>
  <w:style w:type="character" w:customStyle="1" w:styleId="7">
    <w:name w:val="页眉 Char"/>
    <w:basedOn w:val="6"/>
    <w:link w:val="4"/>
    <w:qFormat/>
    <w:uiPriority w:val="0"/>
    <w:rPr>
      <w:kern w:val="2"/>
      <w:sz w:val="18"/>
      <w:szCs w:val="18"/>
    </w:rPr>
  </w:style>
  <w:style w:type="character" w:customStyle="1" w:styleId="8">
    <w:name w:val="批注框文本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1787</Words>
  <Characters>1893</Characters>
  <Lines>1</Lines>
  <Paragraphs>3</Paragraphs>
  <TotalTime>0</TotalTime>
  <ScaleCrop>false</ScaleCrop>
  <LinksUpToDate>false</LinksUpToDate>
  <CharactersWithSpaces>1898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2023-06-28T03:44:00Z</dcterms:created>
  <dc:creator>Administrator</dc:creator>
  <cp:lastModifiedBy>WPS_1675125882</cp:lastModifiedBy>
  <cp:lastPrinted>2025-09-28T06:03:00Z</cp:lastPrinted>
  <dcterms:modified xsi:type="dcterms:W3CDTF">2025-11-05T00:52:38Z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521D3561150A4587A277E37AF39DDC62_12</vt:lpwstr>
  </property>
  <property fmtid="{D5CDD505-2E9C-101B-9397-08002B2CF9AE}" pid="4" name="KSOTemplateDocerSaveRecord">
    <vt:lpwstr>eyJoZGlkIjoiZTY3ZmI2NTUzZTBjMzYyNjhhMjY4YmIwMmVlYmUwN2QiLCJ1c2VySWQiOiIxNDY5NjQ3MjczIn0=</vt:lpwstr>
  </property>
</Properties>
</file>