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5B4573">
      <w:pPr>
        <w:wordWrap w:val="0"/>
        <w:ind w:firstLine="6090" w:firstLineChars="2900"/>
        <w:jc w:val="right"/>
        <w:rPr>
          <w:rStyle w:val="4"/>
          <w:rFonts w:hint="default" w:ascii="仿宋_GB2312" w:hAnsi="Times New Roman" w:eastAsia="仿宋_GB2312" w:cs="Times New Roman"/>
          <w:b w:val="0"/>
          <w:bCs w:val="0"/>
          <w:lang w:val="en-US" w:eastAsia="zh-CN"/>
        </w:rPr>
      </w:pPr>
      <w:r>
        <w:rPr>
          <w:rStyle w:val="4"/>
          <w:rFonts w:hint="eastAsia" w:ascii="仿宋_GB2312" w:hAnsi="Times New Roman" w:eastAsia="仿宋_GB2312" w:cs="Times New Roman"/>
          <w:b w:val="0"/>
          <w:bCs w:val="0"/>
        </w:rPr>
        <w:t>合同编号</w:t>
      </w:r>
      <w:r>
        <w:rPr>
          <w:rStyle w:val="4"/>
          <w:rFonts w:hint="eastAsia" w:ascii="仿宋_GB2312" w:hAnsi="Times New Roman" w:eastAsia="仿宋_GB2312" w:cs="Times New Roman"/>
          <w:b w:val="0"/>
          <w:bCs w:val="0"/>
          <w:lang w:eastAsia="zh-CN"/>
        </w:rPr>
        <w:t>：</w:t>
      </w:r>
      <w:r>
        <w:rPr>
          <w:rStyle w:val="4"/>
          <w:rFonts w:hint="eastAsia" w:ascii="仿宋_GB2312" w:hAnsi="Times New Roman" w:eastAsia="仿宋_GB2312" w:cs="Times New Roman"/>
          <w:b w:val="0"/>
          <w:bCs w:val="0"/>
          <w:lang w:val="en-US" w:eastAsia="zh-CN"/>
        </w:rPr>
        <w:t>Y</w:t>
      </w:r>
      <w:r>
        <w:rPr>
          <w:rStyle w:val="4"/>
          <w:rFonts w:hint="eastAsia" w:ascii="仿宋_GB2312" w:hAnsi="Times New Roman" w:eastAsia="仿宋_GB2312" w:cs="Times New Roman"/>
          <w:b w:val="0"/>
          <w:bCs w:val="0"/>
        </w:rPr>
        <w:t>20</w:t>
      </w:r>
      <w:r>
        <w:rPr>
          <w:rStyle w:val="4"/>
          <w:rFonts w:hint="eastAsia" w:ascii="仿宋_GB2312" w:hAnsi="Times New Roman" w:eastAsia="仿宋_GB2312" w:cs="Times New Roman"/>
          <w:b w:val="0"/>
          <w:bCs w:val="0"/>
          <w:lang w:val="en-US" w:eastAsia="zh-CN"/>
        </w:rPr>
        <w:t xml:space="preserve">25111801        </w:t>
      </w:r>
    </w:p>
    <w:p w14:paraId="5015A086">
      <w:pPr>
        <w:jc w:val="center"/>
        <w:rPr>
          <w:rFonts w:hint="eastAsia" w:ascii="黑体" w:eastAsia="黑体"/>
          <w:b/>
          <w:sz w:val="44"/>
          <w:szCs w:val="32"/>
          <w:lang w:eastAsia="zh-CN"/>
        </w:rPr>
      </w:pPr>
      <w:r>
        <w:rPr>
          <w:rFonts w:hint="eastAsia" w:ascii="黑体" w:eastAsia="黑体"/>
          <w:b/>
          <w:sz w:val="44"/>
          <w:szCs w:val="32"/>
          <w:lang w:val="en-US" w:eastAsia="zh-CN"/>
        </w:rPr>
        <w:t>粮食</w:t>
      </w:r>
      <w:r>
        <w:rPr>
          <w:rFonts w:hint="eastAsia" w:ascii="黑体" w:eastAsia="黑体"/>
          <w:b/>
          <w:sz w:val="44"/>
          <w:szCs w:val="32"/>
        </w:rPr>
        <w:t>竞价采购合同</w:t>
      </w:r>
      <w:r>
        <w:rPr>
          <w:rFonts w:hint="eastAsia" w:ascii="黑体" w:eastAsia="黑体"/>
          <w:b/>
          <w:color w:val="FF0000"/>
          <w:sz w:val="44"/>
          <w:szCs w:val="32"/>
          <w:lang w:eastAsia="zh-CN"/>
        </w:rPr>
        <w:t>（</w:t>
      </w:r>
      <w:r>
        <w:rPr>
          <w:rFonts w:hint="eastAsia" w:ascii="黑体" w:eastAsia="黑体"/>
          <w:b/>
          <w:color w:val="FF0000"/>
          <w:sz w:val="44"/>
          <w:szCs w:val="32"/>
          <w:lang w:val="en-US" w:eastAsia="zh-CN"/>
        </w:rPr>
        <w:t>成品油</w:t>
      </w:r>
      <w:r>
        <w:rPr>
          <w:rFonts w:hint="eastAsia" w:ascii="黑体" w:eastAsia="黑体"/>
          <w:b/>
          <w:color w:val="FF0000"/>
          <w:sz w:val="44"/>
          <w:szCs w:val="32"/>
          <w:lang w:eastAsia="zh-CN"/>
        </w:rPr>
        <w:t>）</w:t>
      </w:r>
    </w:p>
    <w:p w14:paraId="163DA0DE">
      <w:pPr>
        <w:keepNext w:val="0"/>
        <w:keepLines w:val="0"/>
        <w:pageBreakBefore w:val="0"/>
        <w:widowControl/>
        <w:kinsoku/>
        <w:wordWrap/>
        <w:overflowPunct/>
        <w:topLinePunct w:val="0"/>
        <w:autoSpaceDE/>
        <w:autoSpaceDN/>
        <w:bidi w:val="0"/>
        <w:adjustRightInd/>
        <w:spacing w:line="360" w:lineRule="auto"/>
        <w:ind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甲方（需方）：</w:t>
      </w:r>
      <w:r>
        <w:rPr>
          <w:rFonts w:hint="eastAsia" w:ascii="宋体" w:hAnsi="宋体" w:eastAsia="宋体" w:cs="宋体"/>
          <w:sz w:val="24"/>
          <w:szCs w:val="24"/>
          <w:u w:val="single"/>
        </w:rPr>
        <w:t>建德市国有粮食收储有限公司</w:t>
      </w:r>
      <w:r>
        <w:rPr>
          <w:rFonts w:hint="eastAsia" w:ascii="宋体" w:hAnsi="宋体" w:eastAsia="宋体" w:cs="宋体"/>
          <w:sz w:val="24"/>
          <w:szCs w:val="24"/>
        </w:rPr>
        <w:t xml:space="preserve"> </w:t>
      </w:r>
    </w:p>
    <w:p w14:paraId="02D68CA8">
      <w:pPr>
        <w:keepNext w:val="0"/>
        <w:keepLines w:val="0"/>
        <w:pageBreakBefore w:val="0"/>
        <w:widowControl/>
        <w:kinsoku/>
        <w:wordWrap/>
        <w:overflowPunct/>
        <w:topLinePunct w:val="0"/>
        <w:autoSpaceDE/>
        <w:autoSpaceDN/>
        <w:bidi w:val="0"/>
        <w:adjustRightInd/>
        <w:spacing w:line="360" w:lineRule="auto"/>
        <w:ind w:firstLine="480" w:firstLineChars="200"/>
        <w:jc w:val="both"/>
        <w:textAlignment w:val="auto"/>
        <w:rPr>
          <w:rFonts w:hint="default" w:ascii="宋体" w:hAnsi="宋体" w:eastAsia="宋体" w:cs="宋体"/>
          <w:sz w:val="24"/>
          <w:szCs w:val="24"/>
          <w:lang w:val="en-US" w:eastAsia="zh-CN"/>
        </w:rPr>
      </w:pPr>
      <w:r>
        <w:rPr>
          <w:rFonts w:hint="eastAsia" w:ascii="宋体" w:hAnsi="宋体" w:eastAsia="宋体" w:cs="宋体"/>
          <w:sz w:val="24"/>
          <w:szCs w:val="24"/>
        </w:rPr>
        <w:t>乙方（供方）</w:t>
      </w:r>
      <w:r>
        <w:rPr>
          <w:rFonts w:hint="eastAsia" w:ascii="宋体" w:hAnsi="宋体" w:eastAsia="宋体" w:cs="宋体"/>
          <w:sz w:val="24"/>
          <w:szCs w:val="24"/>
          <w:highlight w:val="none"/>
        </w:rPr>
        <w:t>：</w:t>
      </w:r>
      <w:r>
        <w:rPr>
          <w:rFonts w:hint="eastAsia" w:ascii="宋体" w:hAnsi="宋体" w:eastAsia="宋体" w:cs="宋体"/>
          <w:bCs/>
          <w:color w:val="FF0000"/>
          <w:sz w:val="24"/>
          <w:szCs w:val="24"/>
          <w:highlight w:val="none"/>
          <w:u w:val="single"/>
          <w:lang w:val="en-US" w:eastAsia="zh-CN"/>
        </w:rPr>
        <w:t xml:space="preserve">                        </w:t>
      </w:r>
    </w:p>
    <w:p w14:paraId="7AAB5142">
      <w:pPr>
        <w:keepNext w:val="0"/>
        <w:keepLines w:val="0"/>
        <w:pageBreakBefore w:val="0"/>
        <w:widowControl/>
        <w:kinsoku/>
        <w:wordWrap/>
        <w:overflowPunct/>
        <w:topLinePunct w:val="0"/>
        <w:autoSpaceDE/>
        <w:autoSpaceDN/>
        <w:bidi w:val="0"/>
        <w:adjustRightInd/>
        <w:spacing w:line="360" w:lineRule="auto"/>
        <w:ind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甲方通过委托国家</w:t>
      </w:r>
      <w:r>
        <w:rPr>
          <w:rFonts w:hint="eastAsia" w:ascii="宋体" w:hAnsi="宋体" w:eastAsia="宋体" w:cs="宋体"/>
          <w:sz w:val="24"/>
          <w:szCs w:val="24"/>
          <w:lang w:val="en-US" w:eastAsia="zh-CN"/>
        </w:rPr>
        <w:t>粮食</w:t>
      </w:r>
      <w:r>
        <w:rPr>
          <w:rFonts w:hint="eastAsia" w:ascii="宋体" w:hAnsi="宋体" w:eastAsia="宋体" w:cs="宋体"/>
          <w:sz w:val="24"/>
          <w:szCs w:val="24"/>
          <w:lang w:eastAsia="zh-CN"/>
        </w:rPr>
        <w:t>浙江</w:t>
      </w:r>
      <w:r>
        <w:rPr>
          <w:rFonts w:hint="eastAsia" w:ascii="宋体" w:hAnsi="宋体" w:eastAsia="宋体" w:cs="宋体"/>
          <w:sz w:val="24"/>
          <w:szCs w:val="24"/>
        </w:rPr>
        <w:t>交易中心交易市场在其“</w:t>
      </w:r>
      <w:r>
        <w:rPr>
          <w:rFonts w:hint="eastAsia" w:ascii="宋体" w:hAnsi="宋体" w:eastAsia="宋体" w:cs="宋体"/>
          <w:sz w:val="24"/>
          <w:szCs w:val="24"/>
          <w:lang w:eastAsia="zh-CN"/>
        </w:rPr>
        <w:t>国家粮食交易平台</w:t>
      </w:r>
      <w:r>
        <w:rPr>
          <w:rFonts w:hint="eastAsia" w:ascii="宋体" w:hAnsi="宋体" w:eastAsia="宋体" w:cs="宋体"/>
          <w:sz w:val="24"/>
          <w:szCs w:val="24"/>
          <w:lang w:val="en-US" w:eastAsia="zh-CN"/>
        </w:rPr>
        <w:t>-浙江市场</w:t>
      </w:r>
      <w:r>
        <w:rPr>
          <w:rFonts w:hint="eastAsia" w:ascii="宋体" w:hAnsi="宋体" w:eastAsia="宋体" w:cs="宋体"/>
          <w:sz w:val="24"/>
          <w:szCs w:val="24"/>
        </w:rPr>
        <w:t>”上竞价采</w:t>
      </w:r>
      <w:r>
        <w:rPr>
          <w:rFonts w:hint="eastAsia" w:ascii="宋体" w:hAnsi="宋体" w:eastAsia="宋体" w:cs="宋体"/>
          <w:sz w:val="24"/>
          <w:szCs w:val="24"/>
          <w:lang w:val="en-US" w:eastAsia="zh-CN"/>
        </w:rPr>
        <w:t>购国标</w:t>
      </w:r>
      <w:r>
        <w:rPr>
          <w:rFonts w:hint="eastAsia" w:ascii="宋体" w:hAnsi="宋体" w:eastAsia="宋体" w:cs="宋体"/>
          <w:bCs/>
          <w:color w:val="FF0000"/>
          <w:sz w:val="24"/>
          <w:szCs w:val="24"/>
          <w:u w:val="none"/>
          <w:lang w:val="en-US" w:eastAsia="zh-CN"/>
        </w:rPr>
        <w:t>一级压榨非转基因菜籽油</w:t>
      </w:r>
      <w:r>
        <w:rPr>
          <w:rFonts w:hint="eastAsia" w:ascii="宋体" w:hAnsi="宋体" w:eastAsia="宋体" w:cs="宋体"/>
          <w:sz w:val="24"/>
          <w:szCs w:val="24"/>
        </w:rPr>
        <w:t>（场次编号：国粮</w:t>
      </w:r>
      <w:r>
        <w:rPr>
          <w:rFonts w:hint="eastAsia" w:ascii="宋体" w:hAnsi="宋体" w:eastAsia="宋体" w:cs="宋体"/>
          <w:sz w:val="24"/>
          <w:szCs w:val="24"/>
          <w:lang w:eastAsia="zh-CN"/>
        </w:rPr>
        <w:t>浙交</w:t>
      </w:r>
      <w:r>
        <w:rPr>
          <w:rFonts w:hint="eastAsia" w:ascii="宋体" w:hAnsi="宋体" w:eastAsia="宋体" w:cs="宋体"/>
          <w:bCs/>
          <w:color w:val="FF0000"/>
          <w:sz w:val="24"/>
          <w:szCs w:val="24"/>
          <w:u w:val="none"/>
          <w:lang w:val="en-US" w:eastAsia="zh-CN"/>
        </w:rPr>
        <w:t>2025</w:t>
      </w:r>
      <w:r>
        <w:rPr>
          <w:rFonts w:hint="eastAsia" w:ascii="宋体" w:hAnsi="宋体" w:eastAsia="宋体" w:cs="宋体"/>
          <w:sz w:val="24"/>
          <w:szCs w:val="24"/>
        </w:rPr>
        <w:t>第</w:t>
      </w:r>
      <w:r>
        <w:rPr>
          <w:rFonts w:hint="eastAsia" w:ascii="宋体" w:hAnsi="宋体" w:eastAsia="宋体" w:cs="宋体"/>
          <w:bCs/>
          <w:color w:val="FF0000"/>
          <w:sz w:val="24"/>
          <w:szCs w:val="24"/>
          <w:highlight w:val="none"/>
          <w:u w:val="none"/>
          <w:lang w:val="en-US" w:eastAsia="zh-CN"/>
        </w:rPr>
        <w:t xml:space="preserve">   </w:t>
      </w:r>
      <w:r>
        <w:rPr>
          <w:rFonts w:hint="eastAsia" w:ascii="宋体" w:hAnsi="宋体" w:eastAsia="宋体" w:cs="宋体"/>
          <w:sz w:val="24"/>
          <w:szCs w:val="24"/>
          <w:highlight w:val="none"/>
        </w:rPr>
        <w:t xml:space="preserve">号 </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，乙方参与</w:t>
      </w:r>
      <w:r>
        <w:rPr>
          <w:rFonts w:hint="eastAsia" w:ascii="宋体" w:hAnsi="宋体" w:eastAsia="宋体" w:cs="宋体"/>
          <w:sz w:val="24"/>
          <w:szCs w:val="24"/>
        </w:rPr>
        <w:t>竞价交易</w:t>
      </w:r>
      <w:r>
        <w:rPr>
          <w:rFonts w:hint="eastAsia" w:ascii="宋体" w:hAnsi="宋体" w:eastAsia="宋体" w:cs="宋体"/>
          <w:sz w:val="24"/>
          <w:szCs w:val="24"/>
          <w:lang w:val="en-US" w:eastAsia="zh-CN"/>
        </w:rPr>
        <w:t>竞得</w:t>
      </w:r>
      <w:r>
        <w:rPr>
          <w:rFonts w:hint="eastAsia" w:ascii="宋体" w:hAnsi="宋体" w:eastAsia="宋体" w:cs="宋体"/>
          <w:sz w:val="24"/>
          <w:szCs w:val="24"/>
        </w:rPr>
        <w:t>，双方以国家粮</w:t>
      </w:r>
      <w:r>
        <w:rPr>
          <w:rFonts w:hint="eastAsia" w:ascii="宋体" w:hAnsi="宋体" w:eastAsia="宋体" w:cs="宋体"/>
          <w:sz w:val="24"/>
          <w:szCs w:val="24"/>
          <w:lang w:eastAsia="zh-CN"/>
        </w:rPr>
        <w:t>食浙江</w:t>
      </w:r>
      <w:r>
        <w:rPr>
          <w:rFonts w:hint="eastAsia" w:ascii="宋体" w:hAnsi="宋体" w:eastAsia="宋体" w:cs="宋体"/>
          <w:sz w:val="24"/>
          <w:szCs w:val="24"/>
        </w:rPr>
        <w:t>交易中心交易发布的</w:t>
      </w:r>
      <w:bookmarkStart w:id="0" w:name="_GoBack"/>
      <w:bookmarkEnd w:id="0"/>
      <w:r>
        <w:rPr>
          <w:rFonts w:hint="eastAsia" w:ascii="宋体" w:hAnsi="宋体" w:eastAsia="宋体" w:cs="宋体"/>
          <w:sz w:val="24"/>
          <w:szCs w:val="24"/>
        </w:rPr>
        <w:t>“竞价采购公告”和“</w:t>
      </w:r>
      <w:r>
        <w:rPr>
          <w:rFonts w:hint="eastAsia" w:ascii="宋体" w:hAnsi="宋体" w:eastAsia="宋体" w:cs="宋体"/>
          <w:sz w:val="24"/>
          <w:szCs w:val="24"/>
          <w:lang w:val="en-US" w:eastAsia="zh-CN"/>
        </w:rPr>
        <w:t>竞得</w:t>
      </w:r>
      <w:r>
        <w:rPr>
          <w:rFonts w:hint="eastAsia" w:ascii="宋体" w:hAnsi="宋体" w:eastAsia="宋体" w:cs="宋体"/>
          <w:sz w:val="24"/>
          <w:szCs w:val="24"/>
        </w:rPr>
        <w:t>通知书”为依据实现交易。为明确双方责任，根据《</w:t>
      </w:r>
      <w:r>
        <w:rPr>
          <w:rFonts w:hint="eastAsia" w:ascii="宋体" w:hAnsi="宋体" w:eastAsia="宋体" w:cs="宋体"/>
          <w:sz w:val="24"/>
          <w:szCs w:val="24"/>
          <w:lang w:val="en-US" w:eastAsia="zh-CN"/>
        </w:rPr>
        <w:t>中华人民共和国民法典</w:t>
      </w:r>
      <w:r>
        <w:rPr>
          <w:rFonts w:hint="eastAsia" w:ascii="宋体" w:hAnsi="宋体" w:eastAsia="宋体" w:cs="宋体"/>
          <w:sz w:val="24"/>
          <w:szCs w:val="24"/>
        </w:rPr>
        <w:t>》和《国家粮食浙江交易中心竞价网上交易规则》等的规定，特订立以下合同条款，以资共同遵守。</w:t>
      </w:r>
    </w:p>
    <w:p w14:paraId="2FE582C8">
      <w:pPr>
        <w:keepNext w:val="0"/>
        <w:keepLines w:val="0"/>
        <w:pageBreakBefore w:val="0"/>
        <w:widowControl/>
        <w:kinsoku/>
        <w:wordWrap/>
        <w:overflowPunct/>
        <w:topLinePunct w:val="0"/>
        <w:autoSpaceDE/>
        <w:autoSpaceDN/>
        <w:bidi w:val="0"/>
        <w:adjustRightInd/>
        <w:spacing w:line="360" w:lineRule="auto"/>
        <w:ind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一、采购品种、产地、数量、生产年份、价格、金额等。</w:t>
      </w:r>
    </w:p>
    <w:tbl>
      <w:tblPr>
        <w:tblStyle w:val="2"/>
        <w:tblpPr w:leftFromText="180" w:rightFromText="180" w:vertAnchor="text" w:horzAnchor="page" w:tblpX="1842" w:tblpY="414"/>
        <w:tblOverlap w:val="never"/>
        <w:tblW w:w="877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005"/>
        <w:gridCol w:w="960"/>
        <w:gridCol w:w="1410"/>
        <w:gridCol w:w="1425"/>
        <w:gridCol w:w="1620"/>
        <w:gridCol w:w="1515"/>
      </w:tblGrid>
      <w:tr w14:paraId="0695A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8" w:hRule="atLeast"/>
        </w:trPr>
        <w:tc>
          <w:tcPr>
            <w:tcW w:w="840" w:type="dxa"/>
            <w:noWrap w:val="0"/>
            <w:vAlign w:val="center"/>
          </w:tcPr>
          <w:p w14:paraId="0A3FCA4E">
            <w:pPr>
              <w:keepNext w:val="0"/>
              <w:keepLines w:val="0"/>
              <w:pageBreakBefore w:val="0"/>
              <w:widowControl/>
              <w:kinsoku/>
              <w:wordWrap/>
              <w:overflowPunct/>
              <w:topLinePunct w:val="0"/>
              <w:autoSpaceDE/>
              <w:autoSpaceDN/>
              <w:bidi w:val="0"/>
              <w:adjustRightIn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标号</w:t>
            </w:r>
          </w:p>
        </w:tc>
        <w:tc>
          <w:tcPr>
            <w:tcW w:w="1005" w:type="dxa"/>
            <w:noWrap w:val="0"/>
            <w:vAlign w:val="center"/>
          </w:tcPr>
          <w:p w14:paraId="71711308">
            <w:pPr>
              <w:keepNext w:val="0"/>
              <w:keepLines w:val="0"/>
              <w:pageBreakBefore w:val="0"/>
              <w:widowControl/>
              <w:kinsoku/>
              <w:wordWrap/>
              <w:overflowPunct/>
              <w:topLinePunct w:val="0"/>
              <w:autoSpaceDE/>
              <w:autoSpaceDN/>
              <w:bidi w:val="0"/>
              <w:adjustRightIn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品种</w:t>
            </w:r>
          </w:p>
        </w:tc>
        <w:tc>
          <w:tcPr>
            <w:tcW w:w="960" w:type="dxa"/>
            <w:noWrap w:val="0"/>
            <w:vAlign w:val="center"/>
          </w:tcPr>
          <w:p w14:paraId="4851039B">
            <w:pPr>
              <w:keepNext w:val="0"/>
              <w:keepLines w:val="0"/>
              <w:pageBreakBefore w:val="0"/>
              <w:widowControl/>
              <w:kinsoku/>
              <w:wordWrap/>
              <w:overflowPunct/>
              <w:topLinePunct w:val="0"/>
              <w:autoSpaceDE/>
              <w:autoSpaceDN/>
              <w:bidi w:val="0"/>
              <w:adjustRightIn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产地</w:t>
            </w:r>
          </w:p>
        </w:tc>
        <w:tc>
          <w:tcPr>
            <w:tcW w:w="1410" w:type="dxa"/>
            <w:noWrap w:val="0"/>
            <w:vAlign w:val="center"/>
          </w:tcPr>
          <w:p w14:paraId="28147237">
            <w:pPr>
              <w:keepNext w:val="0"/>
              <w:keepLines w:val="0"/>
              <w:pageBreakBefore w:val="0"/>
              <w:widowControl/>
              <w:kinsoku/>
              <w:wordWrap/>
              <w:overflowPunct/>
              <w:topLinePunct w:val="0"/>
              <w:autoSpaceDE/>
              <w:autoSpaceDN/>
              <w:bidi w:val="0"/>
              <w:adjustRightIn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生产</w:t>
            </w:r>
            <w:r>
              <w:rPr>
                <w:rFonts w:hint="eastAsia" w:ascii="宋体" w:hAnsi="宋体" w:eastAsia="宋体" w:cs="宋体"/>
                <w:sz w:val="24"/>
                <w:szCs w:val="24"/>
              </w:rPr>
              <w:t>年份</w:t>
            </w:r>
          </w:p>
        </w:tc>
        <w:tc>
          <w:tcPr>
            <w:tcW w:w="1425" w:type="dxa"/>
            <w:noWrap w:val="0"/>
            <w:vAlign w:val="center"/>
          </w:tcPr>
          <w:p w14:paraId="38243566">
            <w:pPr>
              <w:keepNext w:val="0"/>
              <w:keepLines w:val="0"/>
              <w:pageBreakBefore w:val="0"/>
              <w:widowControl/>
              <w:kinsoku/>
              <w:wordWrap/>
              <w:overflowPunct/>
              <w:topLinePunct w:val="0"/>
              <w:autoSpaceDE/>
              <w:autoSpaceDN/>
              <w:bidi w:val="0"/>
              <w:adjustRightIn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数量（吨）</w:t>
            </w:r>
          </w:p>
        </w:tc>
        <w:tc>
          <w:tcPr>
            <w:tcW w:w="1620" w:type="dxa"/>
            <w:noWrap w:val="0"/>
            <w:vAlign w:val="center"/>
          </w:tcPr>
          <w:p w14:paraId="4997AD9D">
            <w:pPr>
              <w:keepNext w:val="0"/>
              <w:keepLines w:val="0"/>
              <w:pageBreakBefore w:val="0"/>
              <w:widowControl/>
              <w:kinsoku/>
              <w:wordWrap/>
              <w:overflowPunct/>
              <w:topLinePunct w:val="0"/>
              <w:autoSpaceDE/>
              <w:autoSpaceDN/>
              <w:bidi w:val="0"/>
              <w:adjustRightIn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价格（元/吨）</w:t>
            </w:r>
          </w:p>
        </w:tc>
        <w:tc>
          <w:tcPr>
            <w:tcW w:w="1515" w:type="dxa"/>
            <w:noWrap w:val="0"/>
            <w:vAlign w:val="center"/>
          </w:tcPr>
          <w:p w14:paraId="24778C2D">
            <w:pPr>
              <w:keepNext w:val="0"/>
              <w:keepLines w:val="0"/>
              <w:pageBreakBefore w:val="0"/>
              <w:widowControl/>
              <w:kinsoku/>
              <w:wordWrap/>
              <w:overflowPunct/>
              <w:topLinePunct w:val="0"/>
              <w:autoSpaceDE/>
              <w:autoSpaceDN/>
              <w:bidi w:val="0"/>
              <w:adjustRightInd/>
              <w:spacing w:line="360" w:lineRule="auto"/>
              <w:jc w:val="center"/>
              <w:textAlignment w:val="auto"/>
              <w:rPr>
                <w:rFonts w:hint="eastAsia" w:ascii="宋体" w:hAnsi="宋体" w:eastAsia="宋体" w:cs="宋体"/>
                <w:sz w:val="24"/>
                <w:szCs w:val="24"/>
              </w:rPr>
            </w:pPr>
            <w:r>
              <w:rPr>
                <w:rFonts w:hint="eastAsia" w:ascii="宋体" w:hAnsi="宋体" w:eastAsia="宋体" w:cs="宋体"/>
                <w:sz w:val="24"/>
                <w:szCs w:val="24"/>
              </w:rPr>
              <w:t>金额（元）</w:t>
            </w:r>
          </w:p>
        </w:tc>
      </w:tr>
      <w:tr w14:paraId="511BF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840" w:type="dxa"/>
            <w:noWrap w:val="0"/>
            <w:vAlign w:val="center"/>
          </w:tcPr>
          <w:p w14:paraId="7ADD1285">
            <w:pPr>
              <w:keepNext w:val="0"/>
              <w:keepLines w:val="0"/>
              <w:pageBreakBefore w:val="0"/>
              <w:widowControl/>
              <w:kinsoku/>
              <w:wordWrap/>
              <w:overflowPunct/>
              <w:topLinePunct w:val="0"/>
              <w:autoSpaceDE/>
              <w:autoSpaceDN/>
              <w:bidi w:val="0"/>
              <w:adjustRightInd/>
              <w:spacing w:line="360" w:lineRule="auto"/>
              <w:jc w:val="center"/>
              <w:textAlignment w:val="auto"/>
              <w:rPr>
                <w:rFonts w:hint="default" w:ascii="宋体" w:hAnsi="宋体" w:eastAsia="宋体" w:cs="宋体"/>
                <w:bCs/>
                <w:color w:val="FF0000"/>
                <w:sz w:val="24"/>
                <w:szCs w:val="24"/>
                <w:u w:val="none"/>
                <w:lang w:val="en-US" w:eastAsia="zh-CN"/>
              </w:rPr>
            </w:pPr>
            <w:r>
              <w:rPr>
                <w:rFonts w:hint="eastAsia" w:ascii="宋体" w:hAnsi="宋体" w:eastAsia="宋体" w:cs="宋体"/>
                <w:bCs/>
                <w:color w:val="FF0000"/>
                <w:sz w:val="24"/>
                <w:szCs w:val="24"/>
                <w:u w:val="none"/>
                <w:lang w:val="en-US" w:eastAsia="zh-CN"/>
              </w:rPr>
              <w:t>01</w:t>
            </w:r>
          </w:p>
        </w:tc>
        <w:tc>
          <w:tcPr>
            <w:tcW w:w="1005" w:type="dxa"/>
            <w:noWrap w:val="0"/>
            <w:vAlign w:val="center"/>
          </w:tcPr>
          <w:p w14:paraId="45E8CDE4">
            <w:pPr>
              <w:keepNext w:val="0"/>
              <w:keepLines w:val="0"/>
              <w:pageBreakBefore w:val="0"/>
              <w:widowControl/>
              <w:kinsoku/>
              <w:wordWrap/>
              <w:overflowPunct/>
              <w:topLinePunct w:val="0"/>
              <w:autoSpaceDE/>
              <w:autoSpaceDN/>
              <w:bidi w:val="0"/>
              <w:adjustRightInd/>
              <w:spacing w:line="360" w:lineRule="auto"/>
              <w:jc w:val="center"/>
              <w:textAlignment w:val="auto"/>
              <w:rPr>
                <w:rFonts w:hint="eastAsia" w:ascii="宋体" w:hAnsi="宋体" w:eastAsia="宋体" w:cs="宋体"/>
                <w:bCs/>
                <w:color w:val="FF0000"/>
                <w:sz w:val="24"/>
                <w:szCs w:val="24"/>
                <w:u w:val="none"/>
                <w:lang w:val="en-US" w:eastAsia="zh-CN"/>
              </w:rPr>
            </w:pPr>
            <w:r>
              <w:rPr>
                <w:rFonts w:hint="eastAsia" w:ascii="宋体" w:hAnsi="宋体" w:eastAsia="宋体" w:cs="宋体"/>
                <w:bCs/>
                <w:color w:val="FF0000"/>
                <w:sz w:val="24"/>
                <w:szCs w:val="24"/>
                <w:u w:val="none"/>
                <w:lang w:val="en-US" w:eastAsia="zh-CN"/>
              </w:rPr>
              <w:t>菜籽油</w:t>
            </w:r>
          </w:p>
        </w:tc>
        <w:tc>
          <w:tcPr>
            <w:tcW w:w="960" w:type="dxa"/>
            <w:noWrap w:val="0"/>
            <w:vAlign w:val="center"/>
          </w:tcPr>
          <w:p w14:paraId="096F560B">
            <w:pPr>
              <w:keepNext w:val="0"/>
              <w:keepLines w:val="0"/>
              <w:pageBreakBefore w:val="0"/>
              <w:widowControl/>
              <w:kinsoku/>
              <w:wordWrap/>
              <w:overflowPunct/>
              <w:topLinePunct w:val="0"/>
              <w:autoSpaceDE/>
              <w:autoSpaceDN/>
              <w:bidi w:val="0"/>
              <w:adjustRightInd/>
              <w:spacing w:line="360" w:lineRule="auto"/>
              <w:jc w:val="center"/>
              <w:textAlignment w:val="auto"/>
              <w:rPr>
                <w:rFonts w:hint="default" w:ascii="宋体" w:hAnsi="宋体" w:eastAsia="宋体" w:cs="宋体"/>
                <w:bCs/>
                <w:color w:val="FF0000"/>
                <w:sz w:val="24"/>
                <w:szCs w:val="24"/>
                <w:u w:val="none"/>
                <w:lang w:val="en-US" w:eastAsia="zh-CN"/>
              </w:rPr>
            </w:pPr>
            <w:r>
              <w:rPr>
                <w:rFonts w:hint="eastAsia" w:ascii="宋体" w:hAnsi="宋体" w:eastAsia="宋体" w:cs="宋体"/>
                <w:bCs/>
                <w:color w:val="FF0000"/>
                <w:sz w:val="24"/>
                <w:szCs w:val="24"/>
                <w:u w:val="none"/>
                <w:lang w:val="en-US" w:eastAsia="zh-CN"/>
              </w:rPr>
              <w:t xml:space="preserve"> 浙江 </w:t>
            </w:r>
          </w:p>
        </w:tc>
        <w:tc>
          <w:tcPr>
            <w:tcW w:w="1410" w:type="dxa"/>
            <w:noWrap w:val="0"/>
            <w:vAlign w:val="center"/>
          </w:tcPr>
          <w:p w14:paraId="456008D9">
            <w:pPr>
              <w:keepNext w:val="0"/>
              <w:keepLines w:val="0"/>
              <w:pageBreakBefore w:val="0"/>
              <w:widowControl/>
              <w:kinsoku/>
              <w:wordWrap/>
              <w:overflowPunct/>
              <w:topLinePunct w:val="0"/>
              <w:autoSpaceDE/>
              <w:autoSpaceDN/>
              <w:bidi w:val="0"/>
              <w:adjustRightInd/>
              <w:spacing w:line="360" w:lineRule="auto"/>
              <w:jc w:val="center"/>
              <w:textAlignment w:val="auto"/>
              <w:rPr>
                <w:rFonts w:hint="default" w:ascii="宋体" w:hAnsi="宋体" w:eastAsia="宋体" w:cs="宋体"/>
                <w:bCs/>
                <w:color w:val="FF0000"/>
                <w:sz w:val="24"/>
                <w:szCs w:val="24"/>
                <w:u w:val="none"/>
                <w:lang w:val="en-US" w:eastAsia="zh-CN"/>
              </w:rPr>
            </w:pPr>
            <w:r>
              <w:rPr>
                <w:rFonts w:hint="eastAsia" w:ascii="宋体" w:hAnsi="宋体" w:eastAsia="宋体" w:cs="宋体"/>
                <w:bCs/>
                <w:color w:val="FF0000"/>
                <w:sz w:val="24"/>
                <w:szCs w:val="24"/>
                <w:u w:val="none"/>
                <w:lang w:val="en-US" w:eastAsia="zh-CN"/>
              </w:rPr>
              <w:t>2025</w:t>
            </w:r>
          </w:p>
        </w:tc>
        <w:tc>
          <w:tcPr>
            <w:tcW w:w="1425" w:type="dxa"/>
            <w:shd w:val="clear" w:color="auto" w:fill="auto"/>
            <w:noWrap w:val="0"/>
            <w:vAlign w:val="center"/>
          </w:tcPr>
          <w:p w14:paraId="1694EC74">
            <w:pPr>
              <w:keepNext w:val="0"/>
              <w:keepLines w:val="0"/>
              <w:pageBreakBefore w:val="0"/>
              <w:widowControl/>
              <w:kinsoku/>
              <w:wordWrap/>
              <w:overflowPunct/>
              <w:topLinePunct w:val="0"/>
              <w:autoSpaceDE/>
              <w:autoSpaceDN/>
              <w:bidi w:val="0"/>
              <w:adjustRightInd/>
              <w:spacing w:line="360" w:lineRule="auto"/>
              <w:jc w:val="center"/>
              <w:textAlignment w:val="auto"/>
              <w:rPr>
                <w:rFonts w:hint="default" w:ascii="宋体" w:hAnsi="宋体" w:eastAsia="宋体" w:cs="宋体"/>
                <w:bCs/>
                <w:color w:val="FF0000"/>
                <w:sz w:val="24"/>
                <w:szCs w:val="24"/>
                <w:u w:val="none"/>
                <w:lang w:val="en-US" w:eastAsia="zh-CN"/>
              </w:rPr>
            </w:pPr>
            <w:r>
              <w:rPr>
                <w:rFonts w:hint="eastAsia" w:ascii="宋体" w:hAnsi="宋体" w:eastAsia="宋体" w:cs="宋体"/>
                <w:bCs/>
                <w:color w:val="FF0000"/>
                <w:sz w:val="24"/>
                <w:szCs w:val="24"/>
                <w:u w:val="none"/>
                <w:lang w:val="en-US" w:eastAsia="zh-CN"/>
              </w:rPr>
              <w:t xml:space="preserve">85.000 </w:t>
            </w:r>
          </w:p>
        </w:tc>
        <w:tc>
          <w:tcPr>
            <w:tcW w:w="1620" w:type="dxa"/>
            <w:noWrap w:val="0"/>
            <w:vAlign w:val="center"/>
          </w:tcPr>
          <w:p w14:paraId="7D45612F">
            <w:pPr>
              <w:keepNext w:val="0"/>
              <w:keepLines w:val="0"/>
              <w:pageBreakBefore w:val="0"/>
              <w:widowControl/>
              <w:kinsoku/>
              <w:wordWrap/>
              <w:overflowPunct/>
              <w:topLinePunct w:val="0"/>
              <w:autoSpaceDE/>
              <w:autoSpaceDN/>
              <w:bidi w:val="0"/>
              <w:adjustRightInd/>
              <w:spacing w:line="360" w:lineRule="auto"/>
              <w:jc w:val="center"/>
              <w:textAlignment w:val="auto"/>
              <w:rPr>
                <w:rFonts w:hint="default" w:ascii="宋体" w:hAnsi="宋体" w:eastAsia="宋体" w:cs="宋体"/>
                <w:bCs/>
                <w:color w:val="FF0000"/>
                <w:sz w:val="24"/>
                <w:szCs w:val="24"/>
                <w:u w:val="none"/>
                <w:lang w:val="en-US" w:eastAsia="zh-CN"/>
              </w:rPr>
            </w:pPr>
            <w:r>
              <w:rPr>
                <w:rFonts w:hint="eastAsia" w:ascii="宋体" w:hAnsi="宋体" w:eastAsia="宋体" w:cs="宋体"/>
                <w:bCs/>
                <w:color w:val="FF0000"/>
                <w:sz w:val="24"/>
                <w:szCs w:val="24"/>
                <w:u w:val="none"/>
                <w:lang w:val="en-US" w:eastAsia="zh-CN"/>
              </w:rPr>
              <w:t xml:space="preserve"> </w:t>
            </w:r>
          </w:p>
        </w:tc>
        <w:tc>
          <w:tcPr>
            <w:tcW w:w="1515" w:type="dxa"/>
            <w:shd w:val="clear" w:color="auto" w:fill="auto"/>
            <w:noWrap w:val="0"/>
            <w:vAlign w:val="center"/>
          </w:tcPr>
          <w:p w14:paraId="56691396">
            <w:pPr>
              <w:keepNext w:val="0"/>
              <w:keepLines w:val="0"/>
              <w:pageBreakBefore w:val="0"/>
              <w:widowControl/>
              <w:kinsoku/>
              <w:wordWrap/>
              <w:overflowPunct/>
              <w:topLinePunct w:val="0"/>
              <w:autoSpaceDE/>
              <w:autoSpaceDN/>
              <w:bidi w:val="0"/>
              <w:adjustRightInd/>
              <w:spacing w:line="360" w:lineRule="auto"/>
              <w:jc w:val="center"/>
              <w:textAlignment w:val="auto"/>
              <w:rPr>
                <w:rFonts w:hint="default" w:ascii="宋体" w:hAnsi="宋体" w:eastAsia="宋体" w:cs="宋体"/>
                <w:bCs/>
                <w:color w:val="FF0000"/>
                <w:sz w:val="24"/>
                <w:szCs w:val="24"/>
                <w:u w:val="none"/>
                <w:lang w:val="en-US" w:eastAsia="zh-CN"/>
              </w:rPr>
            </w:pPr>
            <w:r>
              <w:rPr>
                <w:rFonts w:hint="eastAsia" w:ascii="宋体" w:hAnsi="宋体" w:eastAsia="宋体" w:cs="宋体"/>
                <w:bCs/>
                <w:color w:val="FF0000"/>
                <w:sz w:val="24"/>
                <w:szCs w:val="24"/>
                <w:u w:val="none"/>
                <w:lang w:val="en-US" w:eastAsia="zh-CN"/>
              </w:rPr>
              <w:t xml:space="preserve"> </w:t>
            </w:r>
          </w:p>
        </w:tc>
      </w:tr>
      <w:tr w14:paraId="3F47A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trPr>
        <w:tc>
          <w:tcPr>
            <w:tcW w:w="4215" w:type="dxa"/>
            <w:gridSpan w:val="4"/>
            <w:noWrap w:val="0"/>
            <w:vAlign w:val="center"/>
          </w:tcPr>
          <w:p w14:paraId="13B5AD76">
            <w:pPr>
              <w:keepNext w:val="0"/>
              <w:keepLines w:val="0"/>
              <w:pageBreakBefore w:val="0"/>
              <w:widowControl/>
              <w:kinsoku/>
              <w:wordWrap/>
              <w:overflowPunct/>
              <w:topLinePunct w:val="0"/>
              <w:autoSpaceDE/>
              <w:autoSpaceDN/>
              <w:bidi w:val="0"/>
              <w:adjustRightInd/>
              <w:spacing w:line="360" w:lineRule="auto"/>
              <w:ind w:firstLine="480" w:firstLineChars="200"/>
              <w:jc w:val="center"/>
              <w:textAlignment w:val="auto"/>
              <w:rPr>
                <w:rFonts w:hint="eastAsia" w:ascii="宋体" w:hAnsi="宋体" w:eastAsia="宋体" w:cs="宋体"/>
                <w:sz w:val="24"/>
                <w:szCs w:val="24"/>
              </w:rPr>
            </w:pPr>
            <w:r>
              <w:rPr>
                <w:rFonts w:hint="eastAsia" w:ascii="宋体" w:hAnsi="宋体" w:eastAsia="宋体" w:cs="宋体"/>
                <w:sz w:val="24"/>
                <w:szCs w:val="24"/>
              </w:rPr>
              <w:t>合</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计</w:t>
            </w:r>
          </w:p>
        </w:tc>
        <w:tc>
          <w:tcPr>
            <w:tcW w:w="1425" w:type="dxa"/>
            <w:shd w:val="clear" w:color="auto" w:fill="auto"/>
            <w:noWrap w:val="0"/>
            <w:vAlign w:val="center"/>
          </w:tcPr>
          <w:p w14:paraId="4EFB0024">
            <w:pPr>
              <w:keepNext w:val="0"/>
              <w:keepLines w:val="0"/>
              <w:pageBreakBefore w:val="0"/>
              <w:widowControl/>
              <w:kinsoku/>
              <w:wordWrap/>
              <w:overflowPunct/>
              <w:topLinePunct w:val="0"/>
              <w:autoSpaceDE/>
              <w:autoSpaceDN/>
              <w:bidi w:val="0"/>
              <w:adjustRightInd/>
              <w:spacing w:line="360" w:lineRule="auto"/>
              <w:jc w:val="center"/>
              <w:textAlignment w:val="auto"/>
              <w:rPr>
                <w:rFonts w:hint="default" w:ascii="宋体" w:hAnsi="宋体" w:eastAsia="宋体" w:cs="宋体"/>
                <w:bCs/>
                <w:color w:val="FF0000"/>
                <w:sz w:val="24"/>
                <w:szCs w:val="24"/>
                <w:u w:val="none"/>
                <w:lang w:val="en-US" w:eastAsia="zh-CN"/>
              </w:rPr>
            </w:pPr>
            <w:r>
              <w:rPr>
                <w:rFonts w:hint="eastAsia" w:ascii="宋体" w:hAnsi="宋体" w:eastAsia="宋体" w:cs="宋体"/>
                <w:bCs/>
                <w:color w:val="FF0000"/>
                <w:sz w:val="24"/>
                <w:szCs w:val="24"/>
                <w:u w:val="none"/>
                <w:lang w:val="en-US" w:eastAsia="zh-CN"/>
              </w:rPr>
              <w:t>85.000</w:t>
            </w:r>
          </w:p>
        </w:tc>
        <w:tc>
          <w:tcPr>
            <w:tcW w:w="1620" w:type="dxa"/>
            <w:noWrap w:val="0"/>
            <w:vAlign w:val="center"/>
          </w:tcPr>
          <w:p w14:paraId="343F9EC8">
            <w:pPr>
              <w:keepNext w:val="0"/>
              <w:keepLines w:val="0"/>
              <w:pageBreakBefore w:val="0"/>
              <w:widowControl/>
              <w:kinsoku/>
              <w:wordWrap/>
              <w:overflowPunct/>
              <w:topLinePunct w:val="0"/>
              <w:autoSpaceDE/>
              <w:autoSpaceDN/>
              <w:bidi w:val="0"/>
              <w:adjustRightInd/>
              <w:spacing w:line="360" w:lineRule="auto"/>
              <w:jc w:val="center"/>
              <w:textAlignment w:val="auto"/>
              <w:rPr>
                <w:rFonts w:hint="default" w:ascii="宋体" w:hAnsi="宋体" w:eastAsia="宋体" w:cs="宋体"/>
                <w:bCs/>
                <w:color w:val="FF0000"/>
                <w:sz w:val="24"/>
                <w:szCs w:val="24"/>
                <w:u w:val="none"/>
                <w:lang w:val="en-US" w:eastAsia="zh-CN"/>
              </w:rPr>
            </w:pPr>
          </w:p>
        </w:tc>
        <w:tc>
          <w:tcPr>
            <w:tcW w:w="1515" w:type="dxa"/>
            <w:shd w:val="clear" w:color="auto" w:fill="auto"/>
            <w:noWrap w:val="0"/>
            <w:vAlign w:val="center"/>
          </w:tcPr>
          <w:p w14:paraId="454BF1F4">
            <w:pPr>
              <w:keepNext w:val="0"/>
              <w:keepLines w:val="0"/>
              <w:pageBreakBefore w:val="0"/>
              <w:widowControl/>
              <w:kinsoku/>
              <w:wordWrap/>
              <w:overflowPunct/>
              <w:topLinePunct w:val="0"/>
              <w:autoSpaceDE/>
              <w:autoSpaceDN/>
              <w:bidi w:val="0"/>
              <w:adjustRightInd/>
              <w:spacing w:line="360" w:lineRule="auto"/>
              <w:jc w:val="center"/>
              <w:textAlignment w:val="auto"/>
              <w:rPr>
                <w:rFonts w:hint="default" w:ascii="宋体" w:hAnsi="宋体" w:eastAsia="宋体" w:cs="宋体"/>
                <w:bCs/>
                <w:color w:val="FF0000"/>
                <w:sz w:val="24"/>
                <w:szCs w:val="24"/>
                <w:u w:val="none"/>
                <w:lang w:val="en-US" w:eastAsia="zh-CN"/>
              </w:rPr>
            </w:pPr>
            <w:r>
              <w:rPr>
                <w:rFonts w:hint="eastAsia" w:ascii="宋体" w:hAnsi="宋体" w:eastAsia="宋体" w:cs="宋体"/>
                <w:bCs/>
                <w:color w:val="FF0000"/>
                <w:sz w:val="24"/>
                <w:szCs w:val="24"/>
                <w:u w:val="none"/>
                <w:lang w:val="en-US" w:eastAsia="zh-CN"/>
              </w:rPr>
              <w:t xml:space="preserve"> </w:t>
            </w:r>
          </w:p>
        </w:tc>
      </w:tr>
    </w:tbl>
    <w:p w14:paraId="0A7F284C">
      <w:pPr>
        <w:adjustRightInd w:val="0"/>
        <w:snapToGrid w:val="0"/>
        <w:spacing w:line="360" w:lineRule="auto"/>
        <w:ind w:firstLine="480" w:firstLineChars="200"/>
        <w:rPr>
          <w:rFonts w:hint="eastAsia" w:ascii="宋体" w:hAnsi="宋体" w:eastAsia="宋体" w:cs="宋体"/>
          <w:sz w:val="24"/>
          <w:szCs w:val="24"/>
        </w:rPr>
      </w:pPr>
    </w:p>
    <w:p w14:paraId="0CA3615A">
      <w:pPr>
        <w:adjustRightInd w:val="0"/>
        <w:snapToGrid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rPr>
        <w:t>总金</w:t>
      </w:r>
      <w:r>
        <w:rPr>
          <w:rFonts w:hint="eastAsia" w:ascii="宋体" w:hAnsi="宋体" w:eastAsia="宋体" w:cs="宋体"/>
          <w:sz w:val="24"/>
          <w:szCs w:val="24"/>
          <w:highlight w:val="none"/>
        </w:rPr>
        <w:t>额（大写）：</w:t>
      </w:r>
      <w:r>
        <w:rPr>
          <w:rFonts w:hint="eastAsia" w:ascii="宋体" w:hAnsi="宋体" w:eastAsia="宋体" w:cs="宋体"/>
          <w:bCs/>
          <w:color w:val="FF0000"/>
          <w:sz w:val="24"/>
          <w:szCs w:val="24"/>
          <w:highlight w:val="none"/>
          <w:u w:val="single"/>
          <w:lang w:val="en-US" w:eastAsia="zh-CN"/>
        </w:rPr>
        <w:t xml:space="preserve">                 </w:t>
      </w: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说明</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含税、运</w:t>
      </w:r>
      <w:r>
        <w:rPr>
          <w:rFonts w:hint="eastAsia" w:ascii="宋体" w:hAnsi="宋体" w:eastAsia="宋体" w:cs="宋体"/>
          <w:sz w:val="24"/>
          <w:szCs w:val="24"/>
        </w:rPr>
        <w:t>费、包装费、发票等所有费用</w:t>
      </w:r>
      <w:r>
        <w:rPr>
          <w:rFonts w:hint="eastAsia" w:ascii="宋体" w:hAnsi="宋体" w:eastAsia="宋体" w:cs="宋体"/>
          <w:sz w:val="24"/>
          <w:szCs w:val="24"/>
          <w:lang w:eastAsia="zh-CN"/>
        </w:rPr>
        <w:t>）</w:t>
      </w:r>
      <w:r>
        <w:rPr>
          <w:rFonts w:hint="eastAsia" w:ascii="宋体" w:hAnsi="宋体" w:eastAsia="宋体" w:cs="宋体"/>
          <w:sz w:val="24"/>
          <w:szCs w:val="24"/>
        </w:rPr>
        <w:t>。</w:t>
      </w:r>
    </w:p>
    <w:p w14:paraId="4FF59136">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eastAsia="zh-CN"/>
        </w:rPr>
        <w:t>国标</w:t>
      </w:r>
      <w:r>
        <w:rPr>
          <w:rFonts w:hint="eastAsia" w:ascii="宋体" w:hAnsi="宋体" w:eastAsia="宋体" w:cs="宋体"/>
          <w:sz w:val="24"/>
          <w:szCs w:val="24"/>
        </w:rPr>
        <w:t>一级压榨非转基因菜籽油</w:t>
      </w:r>
      <w:r>
        <w:rPr>
          <w:rFonts w:hint="eastAsia" w:ascii="宋体" w:hAnsi="宋体" w:eastAsia="宋体" w:cs="宋体"/>
          <w:sz w:val="24"/>
          <w:szCs w:val="24"/>
          <w:lang w:val="en-US" w:eastAsia="zh-CN"/>
        </w:rPr>
        <w:t>85</w:t>
      </w:r>
      <w:r>
        <w:rPr>
          <w:rFonts w:hint="eastAsia" w:ascii="宋体" w:hAnsi="宋体" w:eastAsia="宋体" w:cs="宋体"/>
          <w:sz w:val="24"/>
          <w:szCs w:val="24"/>
        </w:rPr>
        <w:t>吨（</w:t>
      </w:r>
      <w:r>
        <w:rPr>
          <w:rFonts w:hint="eastAsia" w:ascii="宋体" w:hAnsi="宋体" w:eastAsia="宋体" w:cs="宋体"/>
          <w:sz w:val="24"/>
          <w:szCs w:val="24"/>
          <w:lang w:val="en-US" w:eastAsia="zh-CN"/>
        </w:rPr>
        <w:t>4645箱、每箱5升*4瓶，相对密度按0.915计算</w:t>
      </w:r>
      <w:r>
        <w:rPr>
          <w:rFonts w:hint="eastAsia" w:ascii="宋体" w:hAnsi="宋体" w:eastAsia="宋体" w:cs="宋体"/>
          <w:sz w:val="24"/>
          <w:szCs w:val="24"/>
        </w:rPr>
        <w:t>）；同一标段的品牌、包装、生产日期需相同；每个标段需另加</w:t>
      </w:r>
      <w:r>
        <w:rPr>
          <w:rFonts w:hint="eastAsia" w:ascii="宋体" w:hAnsi="宋体" w:eastAsia="宋体" w:cs="宋体"/>
          <w:sz w:val="24"/>
          <w:szCs w:val="24"/>
          <w:lang w:val="en-US" w:eastAsia="zh-CN"/>
        </w:rPr>
        <w:t>3</w:t>
      </w:r>
      <w:r>
        <w:rPr>
          <w:rFonts w:hint="eastAsia" w:ascii="宋体" w:hAnsi="宋体" w:eastAsia="宋体" w:cs="宋体"/>
          <w:sz w:val="24"/>
          <w:szCs w:val="24"/>
        </w:rPr>
        <w:t>箱送第三方质检机构检测备用（不计价）。</w:t>
      </w:r>
    </w:p>
    <w:p w14:paraId="7535C24C">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二、质量要求：</w:t>
      </w:r>
      <w:r>
        <w:rPr>
          <w:rFonts w:hint="eastAsia" w:ascii="宋体" w:hAnsi="宋体" w:eastAsia="宋体" w:cs="宋体"/>
          <w:sz w:val="24"/>
          <w:szCs w:val="24"/>
          <w:lang w:eastAsia="zh-CN"/>
        </w:rPr>
        <w:t>国标</w:t>
      </w:r>
      <w:r>
        <w:rPr>
          <w:rFonts w:hint="eastAsia" w:ascii="宋体" w:hAnsi="宋体" w:eastAsia="宋体" w:cs="宋体"/>
          <w:sz w:val="24"/>
          <w:szCs w:val="24"/>
        </w:rPr>
        <w:t>一级压榨非转基因菜籽油，符合国标《菜籽油》（GB</w:t>
      </w:r>
      <w:r>
        <w:rPr>
          <w:rFonts w:hint="eastAsia" w:ascii="宋体" w:hAnsi="宋体" w:eastAsia="宋体" w:cs="宋体"/>
          <w:sz w:val="24"/>
          <w:szCs w:val="24"/>
          <w:lang w:val="en-US" w:eastAsia="zh-CN"/>
        </w:rPr>
        <w:t>/T</w:t>
      </w:r>
      <w:r>
        <w:rPr>
          <w:rFonts w:hint="eastAsia" w:ascii="宋体" w:hAnsi="宋体" w:eastAsia="宋体" w:cs="宋体"/>
          <w:sz w:val="24"/>
          <w:szCs w:val="24"/>
        </w:rPr>
        <w:t>-1536</w:t>
      </w:r>
      <w:r>
        <w:rPr>
          <w:rFonts w:hint="eastAsia" w:ascii="宋体" w:hAnsi="宋体" w:eastAsia="宋体" w:cs="宋体"/>
          <w:sz w:val="24"/>
          <w:szCs w:val="24"/>
          <w:lang w:val="en-US" w:eastAsia="zh-CN"/>
        </w:rPr>
        <w:t>-</w:t>
      </w:r>
      <w:r>
        <w:rPr>
          <w:rFonts w:hint="eastAsia" w:ascii="宋体" w:hAnsi="宋体" w:eastAsia="宋体" w:cs="宋体"/>
          <w:sz w:val="24"/>
          <w:szCs w:val="24"/>
        </w:rPr>
        <w:t>2</w:t>
      </w:r>
      <w:r>
        <w:rPr>
          <w:rFonts w:hint="eastAsia" w:ascii="宋体" w:hAnsi="宋体" w:eastAsia="宋体" w:cs="宋体"/>
          <w:sz w:val="24"/>
          <w:szCs w:val="24"/>
          <w:lang w:val="en-US" w:eastAsia="zh-CN"/>
        </w:rPr>
        <w:t>021</w:t>
      </w:r>
      <w:r>
        <w:rPr>
          <w:rFonts w:hint="eastAsia" w:ascii="宋体" w:hAnsi="宋体" w:eastAsia="宋体" w:cs="宋体"/>
          <w:sz w:val="24"/>
          <w:szCs w:val="24"/>
        </w:rPr>
        <w:t>）质量标准，食品安全指标符合国标（GB-2716-2018）标准。生产日期须为</w:t>
      </w:r>
      <w:r>
        <w:rPr>
          <w:rFonts w:hint="eastAsia" w:ascii="宋体" w:hAnsi="宋体" w:eastAsia="宋体" w:cs="宋体"/>
          <w:color w:val="FF0000"/>
          <w:sz w:val="24"/>
          <w:szCs w:val="24"/>
        </w:rPr>
        <w:t>202</w:t>
      </w:r>
      <w:r>
        <w:rPr>
          <w:rFonts w:hint="eastAsia" w:ascii="宋体" w:hAnsi="宋体" w:eastAsia="宋体" w:cs="宋体"/>
          <w:color w:val="FF0000"/>
          <w:sz w:val="24"/>
          <w:szCs w:val="24"/>
          <w:lang w:val="en-US" w:eastAsia="zh-CN"/>
        </w:rPr>
        <w:t>5</w:t>
      </w:r>
      <w:r>
        <w:rPr>
          <w:rFonts w:hint="eastAsia" w:ascii="宋体" w:hAnsi="宋体" w:eastAsia="宋体" w:cs="宋体"/>
          <w:color w:val="FF0000"/>
          <w:sz w:val="24"/>
          <w:szCs w:val="24"/>
        </w:rPr>
        <w:t>年</w:t>
      </w:r>
      <w:r>
        <w:rPr>
          <w:rFonts w:hint="eastAsia" w:ascii="宋体" w:hAnsi="宋体" w:eastAsia="宋体" w:cs="宋体"/>
          <w:color w:val="FF0000"/>
          <w:sz w:val="24"/>
          <w:szCs w:val="24"/>
          <w:lang w:val="en-US" w:eastAsia="zh-CN"/>
        </w:rPr>
        <w:t>11</w:t>
      </w:r>
      <w:r>
        <w:rPr>
          <w:rFonts w:hint="eastAsia" w:ascii="宋体" w:hAnsi="宋体" w:eastAsia="宋体" w:cs="宋体"/>
          <w:color w:val="FF0000"/>
          <w:sz w:val="24"/>
          <w:szCs w:val="24"/>
        </w:rPr>
        <w:t>月</w:t>
      </w:r>
      <w:r>
        <w:rPr>
          <w:rFonts w:hint="eastAsia" w:ascii="宋体" w:hAnsi="宋体" w:eastAsia="宋体" w:cs="宋体"/>
          <w:color w:val="FF0000"/>
          <w:sz w:val="24"/>
          <w:szCs w:val="24"/>
          <w:lang w:val="en-US" w:eastAsia="zh-CN"/>
        </w:rPr>
        <w:t>18</w:t>
      </w:r>
      <w:r>
        <w:rPr>
          <w:rFonts w:hint="eastAsia" w:ascii="宋体" w:hAnsi="宋体" w:eastAsia="宋体" w:cs="宋体"/>
          <w:color w:val="FF0000"/>
          <w:sz w:val="24"/>
          <w:szCs w:val="24"/>
        </w:rPr>
        <w:t>日</w:t>
      </w:r>
      <w:r>
        <w:rPr>
          <w:rFonts w:hint="eastAsia" w:ascii="宋体" w:hAnsi="宋体" w:eastAsia="宋体" w:cs="宋体"/>
          <w:sz w:val="24"/>
          <w:szCs w:val="24"/>
        </w:rPr>
        <w:t>以后，</w:t>
      </w:r>
      <w:r>
        <w:rPr>
          <w:rFonts w:hint="eastAsia" w:ascii="宋体" w:hAnsi="宋体" w:eastAsia="宋体" w:cs="宋体"/>
          <w:sz w:val="24"/>
          <w:szCs w:val="24"/>
          <w:lang w:val="en-US" w:eastAsia="zh-CN"/>
        </w:rPr>
        <w:t>保质期不低于18个月。</w:t>
      </w:r>
      <w:r>
        <w:rPr>
          <w:rFonts w:hint="eastAsia" w:ascii="宋体" w:hAnsi="宋体" w:eastAsia="宋体" w:cs="宋体"/>
          <w:sz w:val="24"/>
          <w:szCs w:val="24"/>
        </w:rPr>
        <w:t>竞得方需提供出厂合格质检报告单。</w:t>
      </w:r>
    </w:p>
    <w:p w14:paraId="3C915F74">
      <w:pPr>
        <w:adjustRightInd w:val="0"/>
        <w:snapToGrid w:val="0"/>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rPr>
        <w:t>三、</w:t>
      </w:r>
      <w:r>
        <w:rPr>
          <w:rFonts w:hint="eastAsia" w:ascii="宋体" w:hAnsi="宋体" w:eastAsia="宋体" w:cs="宋体"/>
          <w:kern w:val="0"/>
          <w:sz w:val="24"/>
          <w:lang w:eastAsia="zh-CN"/>
        </w:rPr>
        <w:t>包装要求：</w:t>
      </w:r>
      <w:r>
        <w:rPr>
          <w:rFonts w:hint="eastAsia" w:ascii="宋体" w:hAnsi="宋体" w:eastAsia="宋体" w:cs="宋体"/>
          <w:kern w:val="0"/>
          <w:sz w:val="24"/>
          <w:lang w:val="en-US" w:eastAsia="zh-CN"/>
        </w:rPr>
        <w:t>符合《食用植物油销售包装》（GB/T17374-2008）有关规定，包装完好，内包装为塑料容器材料、外包装为纸板箱，包装</w:t>
      </w:r>
      <w:r>
        <w:rPr>
          <w:rFonts w:hint="eastAsia" w:ascii="宋体" w:hAnsi="宋体" w:eastAsia="宋体" w:cs="宋体"/>
          <w:kern w:val="0"/>
          <w:sz w:val="24"/>
          <w:lang w:eastAsia="zh-CN"/>
        </w:rPr>
        <w:t>规格：（</w:t>
      </w:r>
      <w:r>
        <w:rPr>
          <w:rFonts w:hint="eastAsia" w:ascii="宋体" w:hAnsi="宋体" w:eastAsia="宋体" w:cs="宋体"/>
          <w:kern w:val="0"/>
          <w:sz w:val="24"/>
          <w:lang w:val="en-US" w:eastAsia="zh-CN"/>
        </w:rPr>
        <w:t>5.0</w:t>
      </w:r>
      <w:r>
        <w:rPr>
          <w:rFonts w:hint="eastAsia" w:ascii="宋体" w:hAnsi="宋体" w:eastAsia="宋体" w:cs="宋体"/>
          <w:kern w:val="0"/>
          <w:sz w:val="24"/>
          <w:lang w:eastAsia="zh-CN"/>
        </w:rPr>
        <w:t>L</w:t>
      </w:r>
      <w:r>
        <w:rPr>
          <w:rFonts w:hint="eastAsia" w:ascii="宋体" w:hAnsi="宋体" w:eastAsia="宋体" w:cs="宋体"/>
          <w:kern w:val="0"/>
          <w:sz w:val="24"/>
          <w:lang w:val="en-US" w:eastAsia="zh-CN"/>
        </w:rPr>
        <w:t>/瓶</w:t>
      </w:r>
      <w:r>
        <w:rPr>
          <w:rFonts w:hint="eastAsia" w:ascii="宋体" w:hAnsi="宋体" w:eastAsia="宋体" w:cs="宋体"/>
          <w:kern w:val="0"/>
          <w:sz w:val="24"/>
          <w:lang w:eastAsia="zh-CN"/>
        </w:rPr>
        <w:t>*</w:t>
      </w:r>
      <w:r>
        <w:rPr>
          <w:rFonts w:hint="eastAsia" w:ascii="宋体" w:hAnsi="宋体" w:eastAsia="宋体" w:cs="宋体"/>
          <w:kern w:val="0"/>
          <w:sz w:val="24"/>
          <w:lang w:val="en-US" w:eastAsia="zh-CN"/>
        </w:rPr>
        <w:t>4</w:t>
      </w:r>
      <w:r>
        <w:rPr>
          <w:rFonts w:hint="eastAsia" w:ascii="宋体" w:hAnsi="宋体" w:eastAsia="宋体" w:cs="宋体"/>
          <w:kern w:val="0"/>
          <w:sz w:val="24"/>
          <w:lang w:eastAsia="zh-CN"/>
        </w:rPr>
        <w:t>瓶）</w:t>
      </w:r>
      <w:r>
        <w:rPr>
          <w:rFonts w:hint="eastAsia" w:ascii="宋体" w:hAnsi="宋体" w:eastAsia="宋体" w:cs="宋体"/>
          <w:kern w:val="0"/>
          <w:sz w:val="24"/>
          <w:lang w:val="en-US" w:eastAsia="zh-CN"/>
        </w:rPr>
        <w:t>/箱</w:t>
      </w:r>
      <w:r>
        <w:rPr>
          <w:rFonts w:hint="eastAsia" w:ascii="宋体" w:hAnsi="宋体" w:eastAsia="宋体" w:cs="宋体"/>
          <w:kern w:val="0"/>
          <w:sz w:val="24"/>
          <w:lang w:eastAsia="zh-CN"/>
        </w:rPr>
        <w:t>，</w:t>
      </w:r>
      <w:r>
        <w:rPr>
          <w:rFonts w:hint="eastAsia" w:ascii="宋体" w:hAnsi="宋体" w:eastAsia="宋体" w:cs="宋体"/>
          <w:kern w:val="0"/>
          <w:sz w:val="24"/>
          <w:lang w:val="en-US" w:eastAsia="zh-CN"/>
        </w:rPr>
        <w:t>按5箱高度垂直堆放、储存该批食用菜籽油，预计储存时间为壹年；</w:t>
      </w:r>
      <w:r>
        <w:rPr>
          <w:rFonts w:hint="eastAsia" w:ascii="宋体" w:hAnsi="宋体" w:eastAsia="宋体" w:cs="宋体"/>
          <w:sz w:val="24"/>
          <w:szCs w:val="24"/>
          <w:lang w:val="en-US" w:eastAsia="zh-CN"/>
        </w:rPr>
        <w:t>竞得方交割的食用菜籽油的内、外包装须有足够的承载能力和平整度，若因承载能力或平整度不足发生倒桩等储存安全事故，一切责任由竞得方承担。</w:t>
      </w:r>
    </w:p>
    <w:p w14:paraId="3B136A97">
      <w:pPr>
        <w:keepNext w:val="0"/>
        <w:keepLines w:val="0"/>
        <w:pageBreakBefore w:val="0"/>
        <w:widowControl/>
        <w:kinsoku/>
        <w:wordWrap/>
        <w:overflowPunct/>
        <w:topLinePunct w:val="0"/>
        <w:autoSpaceDE/>
        <w:autoSpaceDN/>
        <w:bidi w:val="0"/>
        <w:adjustRightIn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eastAsia="zh-CN"/>
        </w:rPr>
        <w:t>四</w:t>
      </w:r>
      <w:r>
        <w:rPr>
          <w:rFonts w:hint="eastAsia" w:ascii="宋体" w:hAnsi="宋体" w:eastAsia="宋体" w:cs="宋体"/>
          <w:sz w:val="24"/>
          <w:szCs w:val="24"/>
        </w:rPr>
        <w:t>、其它事项：</w:t>
      </w:r>
      <w:r>
        <w:rPr>
          <w:rFonts w:hint="eastAsia" w:ascii="宋体" w:hAnsi="宋体" w:eastAsia="宋体" w:cs="宋体"/>
          <w:sz w:val="24"/>
          <w:szCs w:val="24"/>
          <w:lang w:val="en-US" w:eastAsia="zh-CN"/>
        </w:rPr>
        <w:t>甲</w:t>
      </w:r>
      <w:r>
        <w:rPr>
          <w:rFonts w:hint="eastAsia" w:ascii="宋体" w:hAnsi="宋体" w:eastAsia="宋体" w:cs="宋体"/>
          <w:sz w:val="24"/>
          <w:szCs w:val="24"/>
        </w:rPr>
        <w:t>方每日安排接货最大数量为</w:t>
      </w:r>
      <w:r>
        <w:rPr>
          <w:rFonts w:hint="eastAsia" w:ascii="宋体" w:hAnsi="宋体" w:eastAsia="宋体" w:cs="宋体"/>
          <w:sz w:val="24"/>
          <w:szCs w:val="24"/>
          <w:lang w:val="en-US" w:eastAsia="zh-CN"/>
        </w:rPr>
        <w:t>30</w:t>
      </w:r>
      <w:r>
        <w:rPr>
          <w:rFonts w:hint="eastAsia" w:ascii="宋体" w:hAnsi="宋体" w:eastAsia="宋体" w:cs="宋体"/>
          <w:sz w:val="24"/>
          <w:szCs w:val="24"/>
        </w:rPr>
        <w:t>吨，</w:t>
      </w:r>
      <w:r>
        <w:rPr>
          <w:rFonts w:hint="eastAsia" w:ascii="宋体" w:hAnsi="宋体" w:eastAsia="宋体" w:cs="宋体"/>
          <w:sz w:val="24"/>
          <w:szCs w:val="24"/>
          <w:lang w:val="en-US" w:eastAsia="zh-CN"/>
        </w:rPr>
        <w:t>车辆需要</w:t>
      </w:r>
      <w:r>
        <w:rPr>
          <w:rFonts w:hint="eastAsia" w:ascii="宋体" w:hAnsi="宋体" w:eastAsia="宋体" w:cs="宋体"/>
          <w:sz w:val="24"/>
          <w:szCs w:val="24"/>
        </w:rPr>
        <w:t>载货30吨以下、车长13米以下的车辆及箱式车。乙方送货前与甲方协商确定送货时间，二个工作日内甲方必须根据实际情况安排接货，以双方的手机短信发货通知（或书面通知）为准，乙方在信息中须注明送货车辆牌号、时间、数量及送货人身份信息，甲方回复应予以明确答复（本合同未明确的，按</w:t>
      </w:r>
      <w:r>
        <w:rPr>
          <w:rFonts w:hint="eastAsia" w:ascii="宋体" w:hAnsi="宋体" w:eastAsia="宋体" w:cs="宋体"/>
          <w:sz w:val="24"/>
          <w:szCs w:val="24"/>
          <w:lang w:eastAsia="zh-CN"/>
        </w:rPr>
        <w:t>竞价</w:t>
      </w:r>
      <w:r>
        <w:rPr>
          <w:rFonts w:hint="eastAsia" w:ascii="宋体" w:hAnsi="宋体" w:eastAsia="宋体" w:cs="宋体"/>
          <w:sz w:val="24"/>
          <w:szCs w:val="24"/>
        </w:rPr>
        <w:t>采购交割细则执行）。</w:t>
      </w:r>
    </w:p>
    <w:p w14:paraId="55E26F33">
      <w:pPr>
        <w:keepNext w:val="0"/>
        <w:keepLines w:val="0"/>
        <w:pageBreakBefore w:val="0"/>
        <w:widowControl/>
        <w:kinsoku/>
        <w:wordWrap/>
        <w:overflowPunct/>
        <w:topLinePunct w:val="0"/>
        <w:autoSpaceDE/>
        <w:autoSpaceDN/>
        <w:bidi w:val="0"/>
        <w:adjustRightInd/>
        <w:spacing w:line="360" w:lineRule="auto"/>
        <w:ind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五</w:t>
      </w:r>
      <w:r>
        <w:rPr>
          <w:rFonts w:hint="eastAsia" w:ascii="宋体" w:hAnsi="宋体" w:eastAsia="宋体" w:cs="宋体"/>
          <w:sz w:val="24"/>
          <w:szCs w:val="24"/>
        </w:rPr>
        <w:t>、交货地点、交货期限</w:t>
      </w:r>
      <w:r>
        <w:rPr>
          <w:rFonts w:hint="eastAsia" w:ascii="宋体" w:hAnsi="宋体" w:eastAsia="宋体" w:cs="宋体"/>
          <w:sz w:val="24"/>
          <w:szCs w:val="24"/>
          <w:lang w:eastAsia="zh-CN"/>
        </w:rPr>
        <w:t>：</w:t>
      </w:r>
    </w:p>
    <w:p w14:paraId="3ECE9F4F">
      <w:pPr>
        <w:keepNext w:val="0"/>
        <w:keepLines w:val="0"/>
        <w:pageBreakBefore w:val="0"/>
        <w:widowControl/>
        <w:kinsoku/>
        <w:wordWrap/>
        <w:overflowPunct/>
        <w:topLinePunct w:val="0"/>
        <w:autoSpaceDE/>
        <w:autoSpaceDN/>
        <w:bidi w:val="0"/>
        <w:adjustRightInd/>
        <w:spacing w:line="360" w:lineRule="auto"/>
        <w:ind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（1）交货地点：</w:t>
      </w:r>
      <w:r>
        <w:rPr>
          <w:rFonts w:hint="eastAsia" w:ascii="宋体" w:hAnsi="宋体" w:eastAsia="宋体" w:cs="宋体"/>
          <w:sz w:val="24"/>
          <w:szCs w:val="24"/>
          <w:lang w:eastAsia="zh-CN"/>
        </w:rPr>
        <w:t>航头</w:t>
      </w:r>
      <w:r>
        <w:rPr>
          <w:rFonts w:hint="eastAsia" w:ascii="宋体" w:hAnsi="宋体" w:eastAsia="宋体" w:cs="宋体"/>
          <w:sz w:val="24"/>
          <w:szCs w:val="24"/>
        </w:rPr>
        <w:t>粮站</w:t>
      </w:r>
      <w:r>
        <w:rPr>
          <w:rFonts w:hint="eastAsia" w:ascii="宋体" w:hAnsi="宋体" w:eastAsia="宋体" w:cs="宋体"/>
          <w:sz w:val="24"/>
          <w:szCs w:val="24"/>
          <w:lang w:val="en-US" w:eastAsia="zh-CN"/>
        </w:rPr>
        <w:t>2P2</w:t>
      </w:r>
      <w:r>
        <w:rPr>
          <w:rFonts w:hint="eastAsia" w:ascii="宋体" w:hAnsi="宋体" w:eastAsia="宋体" w:cs="宋体"/>
          <w:sz w:val="24"/>
          <w:szCs w:val="24"/>
        </w:rPr>
        <w:t>号仓（建德市</w:t>
      </w:r>
      <w:r>
        <w:rPr>
          <w:rFonts w:hint="eastAsia" w:ascii="宋体" w:hAnsi="宋体" w:eastAsia="宋体" w:cs="宋体"/>
          <w:sz w:val="24"/>
          <w:szCs w:val="24"/>
          <w:lang w:eastAsia="zh-CN"/>
        </w:rPr>
        <w:t>航头</w:t>
      </w:r>
      <w:r>
        <w:rPr>
          <w:rFonts w:hint="eastAsia" w:ascii="宋体" w:hAnsi="宋体" w:eastAsia="宋体" w:cs="宋体"/>
          <w:sz w:val="24"/>
          <w:szCs w:val="24"/>
        </w:rPr>
        <w:t>镇</w:t>
      </w:r>
      <w:r>
        <w:rPr>
          <w:rFonts w:hint="eastAsia" w:ascii="宋体" w:hAnsi="宋体" w:eastAsia="宋体" w:cs="宋体"/>
          <w:sz w:val="24"/>
          <w:szCs w:val="24"/>
          <w:lang w:eastAsia="zh-CN"/>
        </w:rPr>
        <w:t>航头村</w:t>
      </w:r>
      <w:r>
        <w:rPr>
          <w:rFonts w:hint="eastAsia" w:ascii="宋体" w:hAnsi="宋体" w:eastAsia="宋体" w:cs="宋体"/>
          <w:sz w:val="24"/>
          <w:szCs w:val="24"/>
          <w:lang w:val="en-US" w:eastAsia="zh-CN"/>
        </w:rPr>
        <w:t>320国道旁</w:t>
      </w:r>
      <w:r>
        <w:rPr>
          <w:rFonts w:hint="eastAsia" w:ascii="宋体" w:hAnsi="宋体" w:eastAsia="宋体" w:cs="宋体"/>
          <w:sz w:val="24"/>
          <w:szCs w:val="24"/>
        </w:rPr>
        <w:t>）</w:t>
      </w:r>
    </w:p>
    <w:p w14:paraId="0FCFDF1F">
      <w:pPr>
        <w:keepNext w:val="0"/>
        <w:keepLines w:val="0"/>
        <w:pageBreakBefore w:val="0"/>
        <w:widowControl/>
        <w:kinsoku/>
        <w:wordWrap/>
        <w:overflowPunct/>
        <w:topLinePunct w:val="0"/>
        <w:autoSpaceDE/>
        <w:autoSpaceDN/>
        <w:bidi w:val="0"/>
        <w:adjustRightInd/>
        <w:spacing w:line="360" w:lineRule="auto"/>
        <w:ind w:firstLine="480" w:firstLineChars="200"/>
        <w:jc w:val="both"/>
        <w:textAlignment w:val="auto"/>
        <w:rPr>
          <w:rFonts w:hint="eastAsia" w:ascii="宋体" w:hAnsi="宋体" w:eastAsia="宋体" w:cs="Times New Roman"/>
          <w:snapToGrid w:val="0"/>
          <w:color w:val="FF0000"/>
          <w:kern w:val="0"/>
          <w:sz w:val="24"/>
        </w:rPr>
      </w:pPr>
      <w:r>
        <w:rPr>
          <w:rFonts w:hint="eastAsia" w:ascii="宋体" w:hAnsi="宋体" w:eastAsia="宋体" w:cs="宋体"/>
          <w:sz w:val="24"/>
          <w:szCs w:val="24"/>
        </w:rPr>
        <w:t>（2）交货期限：</w:t>
      </w:r>
      <w:r>
        <w:rPr>
          <w:rFonts w:hint="eastAsia" w:ascii="宋体" w:hAnsi="宋体" w:eastAsia="宋体" w:cs="Times New Roman"/>
          <w:snapToGrid w:val="0"/>
          <w:color w:val="FF0000"/>
          <w:kern w:val="0"/>
          <w:sz w:val="24"/>
        </w:rPr>
        <w:t>2025年</w:t>
      </w:r>
      <w:r>
        <w:rPr>
          <w:rFonts w:hint="eastAsia" w:ascii="宋体" w:hAnsi="宋体" w:eastAsia="宋体" w:cs="Times New Roman"/>
          <w:snapToGrid w:val="0"/>
          <w:color w:val="FF0000"/>
          <w:kern w:val="0"/>
          <w:sz w:val="24"/>
          <w:lang w:val="en-US" w:eastAsia="zh-CN"/>
        </w:rPr>
        <w:t>11</w:t>
      </w:r>
      <w:r>
        <w:rPr>
          <w:rFonts w:hint="eastAsia" w:ascii="宋体" w:hAnsi="宋体" w:eastAsia="宋体" w:cs="Times New Roman"/>
          <w:snapToGrid w:val="0"/>
          <w:color w:val="FF0000"/>
          <w:kern w:val="0"/>
          <w:sz w:val="24"/>
        </w:rPr>
        <w:t>月</w:t>
      </w:r>
      <w:r>
        <w:rPr>
          <w:rFonts w:hint="eastAsia" w:ascii="宋体" w:hAnsi="宋体" w:eastAsia="宋体" w:cs="Times New Roman"/>
          <w:snapToGrid w:val="0"/>
          <w:color w:val="FF0000"/>
          <w:kern w:val="0"/>
          <w:sz w:val="24"/>
          <w:lang w:val="en-US" w:eastAsia="zh-CN"/>
        </w:rPr>
        <w:t>18</w:t>
      </w:r>
      <w:r>
        <w:rPr>
          <w:rFonts w:hint="eastAsia" w:ascii="宋体" w:hAnsi="宋体" w:eastAsia="宋体" w:cs="Times New Roman"/>
          <w:snapToGrid w:val="0"/>
          <w:color w:val="FF0000"/>
          <w:kern w:val="0"/>
          <w:sz w:val="24"/>
        </w:rPr>
        <w:t>日——2025年</w:t>
      </w:r>
      <w:r>
        <w:rPr>
          <w:rFonts w:hint="eastAsia" w:ascii="宋体" w:hAnsi="宋体" w:eastAsia="宋体" w:cs="Times New Roman"/>
          <w:snapToGrid w:val="0"/>
          <w:color w:val="FF0000"/>
          <w:kern w:val="0"/>
          <w:sz w:val="24"/>
          <w:lang w:val="en-US" w:eastAsia="zh-CN"/>
        </w:rPr>
        <w:t>12</w:t>
      </w:r>
      <w:r>
        <w:rPr>
          <w:rFonts w:hint="eastAsia" w:ascii="宋体" w:hAnsi="宋体" w:eastAsia="宋体" w:cs="Times New Roman"/>
          <w:snapToGrid w:val="0"/>
          <w:color w:val="FF0000"/>
          <w:kern w:val="0"/>
          <w:sz w:val="24"/>
        </w:rPr>
        <w:t>月</w:t>
      </w:r>
      <w:r>
        <w:rPr>
          <w:rFonts w:hint="eastAsia" w:ascii="宋体" w:hAnsi="宋体" w:eastAsia="宋体" w:cs="Times New Roman"/>
          <w:snapToGrid w:val="0"/>
          <w:color w:val="FF0000"/>
          <w:kern w:val="0"/>
          <w:sz w:val="24"/>
          <w:lang w:val="en-US" w:eastAsia="zh-CN"/>
        </w:rPr>
        <w:t>5</w:t>
      </w:r>
      <w:r>
        <w:rPr>
          <w:rFonts w:hint="eastAsia" w:ascii="宋体" w:hAnsi="宋体" w:eastAsia="宋体" w:cs="Times New Roman"/>
          <w:snapToGrid w:val="0"/>
          <w:color w:val="FF0000"/>
          <w:kern w:val="0"/>
          <w:sz w:val="24"/>
        </w:rPr>
        <w:t>日内交货完成（不包含节假日双休日）</w:t>
      </w:r>
    </w:p>
    <w:p w14:paraId="7FA5C684">
      <w:pPr>
        <w:keepNext w:val="0"/>
        <w:keepLines w:val="0"/>
        <w:pageBreakBefore w:val="0"/>
        <w:widowControl/>
        <w:kinsoku/>
        <w:wordWrap/>
        <w:overflowPunct/>
        <w:topLinePunct w:val="0"/>
        <w:autoSpaceDE/>
        <w:autoSpaceDN/>
        <w:bidi w:val="0"/>
        <w:adjustRightInd/>
        <w:spacing w:line="360" w:lineRule="auto"/>
        <w:ind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七</w:t>
      </w:r>
      <w:r>
        <w:rPr>
          <w:rFonts w:hint="eastAsia" w:ascii="宋体" w:hAnsi="宋体" w:eastAsia="宋体" w:cs="宋体"/>
          <w:sz w:val="24"/>
          <w:szCs w:val="24"/>
        </w:rPr>
        <w:t>、验收地点及验收办法。</w:t>
      </w:r>
    </w:p>
    <w:p w14:paraId="3AEEC377">
      <w:pPr>
        <w:keepNext w:val="0"/>
        <w:keepLines w:val="0"/>
        <w:pageBreakBefore w:val="0"/>
        <w:widowControl/>
        <w:kinsoku/>
        <w:wordWrap/>
        <w:overflowPunct/>
        <w:topLinePunct w:val="0"/>
        <w:autoSpaceDE/>
        <w:autoSpaceDN/>
        <w:bidi w:val="0"/>
        <w:adjustRightInd/>
        <w:spacing w:line="360" w:lineRule="auto"/>
        <w:ind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1</w:t>
      </w:r>
      <w:r>
        <w:rPr>
          <w:rFonts w:hint="eastAsia" w:ascii="宋体" w:hAnsi="宋体" w:eastAsia="宋体" w:cs="宋体"/>
          <w:sz w:val="24"/>
          <w:szCs w:val="24"/>
        </w:rPr>
        <w:t>）数量验收：入库数量由入库地仓内点件入库为准，双方应认真清点小包装食用油数量及抽样开箱检验，检查包装是否完好。</w:t>
      </w:r>
    </w:p>
    <w:p w14:paraId="2CBD2CEF">
      <w:pPr>
        <w:keepNext w:val="0"/>
        <w:keepLines w:val="0"/>
        <w:pageBreakBefore w:val="0"/>
        <w:widowControl/>
        <w:kinsoku/>
        <w:wordWrap/>
        <w:overflowPunct/>
        <w:topLinePunct w:val="0"/>
        <w:autoSpaceDE/>
        <w:autoSpaceDN/>
        <w:bidi w:val="0"/>
        <w:adjustRightInd/>
        <w:spacing w:line="360" w:lineRule="auto"/>
        <w:ind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2）质量验收：小包装食用油入库前，竞得方需提供有检验资质的质检部门出具的本批次小包装食用油的检验报告、产品合格证；入库结束后，委托有资质的第三方检验机构抽样检测，如满仓鉴定检测不合格，由竞得方在委托方规定的时间内负责完成更换符合质量要求的</w:t>
      </w:r>
      <w:r>
        <w:rPr>
          <w:rFonts w:hint="eastAsia" w:ascii="宋体" w:hAnsi="宋体" w:eastAsia="宋体" w:cs="宋体"/>
          <w:sz w:val="24"/>
          <w:szCs w:val="24"/>
          <w:lang w:val="en-US" w:eastAsia="zh-CN"/>
        </w:rPr>
        <w:t>菜籽油</w:t>
      </w:r>
      <w:r>
        <w:rPr>
          <w:rFonts w:hint="eastAsia" w:ascii="宋体" w:hAnsi="宋体" w:eastAsia="宋体" w:cs="宋体"/>
          <w:sz w:val="24"/>
          <w:szCs w:val="24"/>
        </w:rPr>
        <w:t>，由此产生的一切损失由竞得方承担。若竞得方未在委托方规定时间内更换到位的，委托方有权判定竞得方违约没收履约保证金并终止合同。</w:t>
      </w:r>
    </w:p>
    <w:p w14:paraId="2047CCC1">
      <w:pPr>
        <w:keepNext w:val="0"/>
        <w:keepLines w:val="0"/>
        <w:pageBreakBefore w:val="0"/>
        <w:widowControl/>
        <w:kinsoku/>
        <w:wordWrap/>
        <w:overflowPunct/>
        <w:topLinePunct w:val="0"/>
        <w:autoSpaceDE/>
        <w:autoSpaceDN/>
        <w:bidi w:val="0"/>
        <w:adjustRightInd/>
        <w:spacing w:line="360" w:lineRule="auto"/>
        <w:ind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八</w:t>
      </w:r>
      <w:r>
        <w:rPr>
          <w:rFonts w:hint="eastAsia" w:ascii="宋体" w:hAnsi="宋体" w:eastAsia="宋体" w:cs="宋体"/>
          <w:sz w:val="24"/>
          <w:szCs w:val="24"/>
        </w:rPr>
        <w:t>、结算方式及结算期限。</w:t>
      </w:r>
      <w:r>
        <w:rPr>
          <w:rFonts w:hint="eastAsia" w:ascii="宋体" w:hAnsi="宋体" w:eastAsia="宋体" w:cs="宋体"/>
          <w:sz w:val="24"/>
          <w:szCs w:val="24"/>
          <w:lang w:val="en-US" w:eastAsia="zh-CN"/>
        </w:rPr>
        <w:t>菜籽油</w:t>
      </w:r>
      <w:r>
        <w:rPr>
          <w:rFonts w:hint="eastAsia" w:ascii="宋体" w:hAnsi="宋体" w:eastAsia="宋体" w:cs="宋体"/>
          <w:sz w:val="24"/>
          <w:szCs w:val="24"/>
        </w:rPr>
        <w:t>入库结束后，经委托方检测</w:t>
      </w:r>
      <w:r>
        <w:rPr>
          <w:rFonts w:hint="eastAsia" w:ascii="宋体" w:hAnsi="宋体" w:eastAsia="宋体" w:cs="宋体"/>
          <w:sz w:val="24"/>
          <w:szCs w:val="24"/>
          <w:lang w:eastAsia="zh-CN"/>
        </w:rPr>
        <w:t>合格后，</w:t>
      </w:r>
      <w:r>
        <w:rPr>
          <w:rFonts w:hint="eastAsia" w:ascii="宋体" w:hAnsi="宋体" w:eastAsia="宋体" w:cs="宋体"/>
          <w:sz w:val="24"/>
          <w:szCs w:val="24"/>
        </w:rPr>
        <w:t>竞得方凭正式发票向委托方结算货款。</w:t>
      </w:r>
    </w:p>
    <w:p w14:paraId="7902BC0E">
      <w:pPr>
        <w:keepNext w:val="0"/>
        <w:keepLines w:val="0"/>
        <w:pageBreakBefore w:val="0"/>
        <w:widowControl/>
        <w:kinsoku/>
        <w:wordWrap/>
        <w:overflowPunct/>
        <w:topLinePunct w:val="0"/>
        <w:autoSpaceDE/>
        <w:autoSpaceDN/>
        <w:bidi w:val="0"/>
        <w:adjustRightInd/>
        <w:spacing w:line="360" w:lineRule="auto"/>
        <w:ind w:firstLine="480" w:firstLineChars="200"/>
        <w:jc w:val="both"/>
        <w:textAlignment w:val="auto"/>
        <w:rPr>
          <w:rFonts w:hint="eastAsia" w:ascii="宋体" w:hAnsi="宋体" w:eastAsia="宋体" w:cs="宋体"/>
          <w:color w:val="FF0000"/>
          <w:sz w:val="24"/>
          <w:szCs w:val="24"/>
        </w:rPr>
      </w:pPr>
      <w:r>
        <w:rPr>
          <w:rFonts w:hint="eastAsia" w:ascii="宋体" w:hAnsi="宋体" w:eastAsia="宋体" w:cs="宋体"/>
          <w:color w:val="FF0000"/>
          <w:sz w:val="24"/>
          <w:szCs w:val="24"/>
          <w:lang w:val="en-US" w:eastAsia="zh-CN"/>
        </w:rPr>
        <w:t>九</w:t>
      </w:r>
      <w:r>
        <w:rPr>
          <w:rFonts w:hint="eastAsia" w:ascii="宋体" w:hAnsi="宋体" w:eastAsia="宋体" w:cs="宋体"/>
          <w:color w:val="FF0000"/>
          <w:sz w:val="24"/>
          <w:szCs w:val="24"/>
        </w:rPr>
        <w:t>、逾期交货：交货时间允许延迟5天，未供货数量按</w:t>
      </w:r>
      <w:r>
        <w:rPr>
          <w:rFonts w:hint="eastAsia" w:ascii="宋体" w:hAnsi="宋体" w:eastAsia="宋体" w:cs="宋体"/>
          <w:color w:val="FF0000"/>
          <w:sz w:val="24"/>
          <w:szCs w:val="24"/>
          <w:lang w:val="en-US" w:eastAsia="zh-CN"/>
        </w:rPr>
        <w:t>5.0元/吨·天</w:t>
      </w:r>
      <w:r>
        <w:rPr>
          <w:rFonts w:hint="eastAsia" w:ascii="宋体" w:hAnsi="宋体" w:eastAsia="宋体" w:cs="宋体"/>
          <w:color w:val="FF0000"/>
          <w:sz w:val="24"/>
          <w:szCs w:val="24"/>
        </w:rPr>
        <w:t>收取</w:t>
      </w:r>
      <w:r>
        <w:rPr>
          <w:rFonts w:hint="eastAsia" w:ascii="宋体" w:hAnsi="宋体" w:eastAsia="宋体" w:cs="宋体"/>
          <w:color w:val="FF0000"/>
          <w:sz w:val="24"/>
          <w:szCs w:val="24"/>
          <w:lang w:val="en-US" w:eastAsia="zh-CN"/>
        </w:rPr>
        <w:t>逾期</w:t>
      </w:r>
      <w:r>
        <w:rPr>
          <w:rFonts w:hint="eastAsia" w:ascii="宋体" w:hAnsi="宋体" w:eastAsia="宋体" w:cs="宋体"/>
          <w:color w:val="FF0000"/>
          <w:sz w:val="24"/>
          <w:szCs w:val="24"/>
        </w:rPr>
        <w:t>费</w:t>
      </w:r>
      <w:r>
        <w:rPr>
          <w:rFonts w:hint="eastAsia" w:ascii="宋体" w:hAnsi="宋体" w:eastAsia="宋体" w:cs="宋体"/>
          <w:color w:val="FF0000"/>
          <w:sz w:val="24"/>
          <w:szCs w:val="24"/>
          <w:lang w:val="en-US" w:eastAsia="zh-CN"/>
        </w:rPr>
        <w:t>用</w:t>
      </w:r>
      <w:r>
        <w:rPr>
          <w:rFonts w:hint="eastAsia" w:ascii="宋体" w:hAnsi="宋体" w:eastAsia="宋体" w:cs="宋体"/>
          <w:color w:val="FF0000"/>
          <w:sz w:val="24"/>
          <w:szCs w:val="24"/>
          <w:lang w:eastAsia="zh-CN"/>
        </w:rPr>
        <w:t>。</w:t>
      </w:r>
      <w:r>
        <w:rPr>
          <w:rFonts w:hint="eastAsia" w:ascii="宋体" w:hAnsi="宋体" w:eastAsia="宋体" w:cs="宋体"/>
          <w:color w:val="FF0000"/>
          <w:sz w:val="24"/>
          <w:szCs w:val="24"/>
          <w:lang w:val="en-US" w:eastAsia="zh-CN"/>
        </w:rPr>
        <w:t>逾期交货5天以上，不得参与我公司一年内竞价交易</w:t>
      </w:r>
      <w:r>
        <w:rPr>
          <w:rFonts w:hint="eastAsia" w:ascii="宋体" w:hAnsi="宋体" w:eastAsia="宋体" w:cs="宋体"/>
          <w:color w:val="FF0000"/>
          <w:sz w:val="24"/>
          <w:szCs w:val="24"/>
        </w:rPr>
        <w:t>。</w:t>
      </w:r>
    </w:p>
    <w:p w14:paraId="4808F05C">
      <w:pPr>
        <w:keepNext w:val="0"/>
        <w:keepLines w:val="0"/>
        <w:pageBreakBefore w:val="0"/>
        <w:widowControl/>
        <w:kinsoku/>
        <w:wordWrap/>
        <w:overflowPunct/>
        <w:topLinePunct w:val="0"/>
        <w:autoSpaceDE/>
        <w:autoSpaceDN/>
        <w:bidi w:val="0"/>
        <w:adjustRightInd/>
        <w:spacing w:line="360" w:lineRule="auto"/>
        <w:ind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十</w:t>
      </w:r>
      <w:r>
        <w:rPr>
          <w:rFonts w:hint="eastAsia" w:ascii="宋体" w:hAnsi="宋体" w:eastAsia="宋体" w:cs="宋体"/>
          <w:sz w:val="24"/>
          <w:szCs w:val="24"/>
        </w:rPr>
        <w:t>、交易保证金及违约责任。甲、乙双方已向国家粮</w:t>
      </w:r>
      <w:r>
        <w:rPr>
          <w:rFonts w:hint="eastAsia" w:ascii="宋体" w:hAnsi="宋体" w:eastAsia="宋体" w:cs="宋体"/>
          <w:sz w:val="24"/>
          <w:szCs w:val="24"/>
          <w:lang w:eastAsia="zh-CN"/>
        </w:rPr>
        <w:t>食浙江</w:t>
      </w:r>
      <w:r>
        <w:rPr>
          <w:rFonts w:hint="eastAsia" w:ascii="宋体" w:hAnsi="宋体" w:eastAsia="宋体" w:cs="宋体"/>
          <w:sz w:val="24"/>
          <w:szCs w:val="24"/>
        </w:rPr>
        <w:t>交易中心交</w:t>
      </w:r>
      <w:r>
        <w:rPr>
          <w:rFonts w:hint="eastAsia" w:ascii="宋体" w:hAnsi="宋体" w:eastAsia="宋体" w:cs="Times New Roman"/>
          <w:snapToGrid w:val="0"/>
          <w:kern w:val="0"/>
          <w:sz w:val="24"/>
        </w:rPr>
        <w:t>纳交易保证金。合同履行结束后，交易保证金由国家粮</w:t>
      </w:r>
      <w:r>
        <w:rPr>
          <w:rFonts w:hint="eastAsia" w:ascii="宋体" w:hAnsi="宋体" w:eastAsia="宋体" w:cs="Times New Roman"/>
          <w:snapToGrid w:val="0"/>
          <w:kern w:val="0"/>
          <w:sz w:val="24"/>
          <w:lang w:eastAsia="zh-CN"/>
        </w:rPr>
        <w:t>食浙江</w:t>
      </w:r>
      <w:r>
        <w:rPr>
          <w:rFonts w:hint="eastAsia" w:ascii="宋体" w:hAnsi="宋体" w:eastAsia="宋体" w:cs="Times New Roman"/>
          <w:snapToGrid w:val="0"/>
          <w:kern w:val="0"/>
          <w:sz w:val="24"/>
        </w:rPr>
        <w:t>交易中心负责退回。在合同履行期间，如发生违约情形，双方授权国家粮</w:t>
      </w:r>
      <w:r>
        <w:rPr>
          <w:rFonts w:hint="eastAsia" w:ascii="宋体" w:hAnsi="宋体" w:eastAsia="宋体" w:cs="Times New Roman"/>
          <w:snapToGrid w:val="0"/>
          <w:kern w:val="0"/>
          <w:sz w:val="24"/>
          <w:lang w:eastAsia="zh-CN"/>
        </w:rPr>
        <w:t>食浙江</w:t>
      </w:r>
      <w:r>
        <w:rPr>
          <w:rFonts w:hint="eastAsia" w:ascii="宋体" w:hAnsi="宋体" w:eastAsia="宋体" w:cs="Times New Roman"/>
          <w:snapToGrid w:val="0"/>
          <w:kern w:val="0"/>
          <w:sz w:val="24"/>
        </w:rPr>
        <w:t>交易中心根据违约</w:t>
      </w:r>
      <w:r>
        <w:rPr>
          <w:rFonts w:hint="eastAsia" w:ascii="宋体" w:hAnsi="宋体" w:eastAsia="宋体" w:cs="宋体"/>
          <w:sz w:val="24"/>
          <w:szCs w:val="24"/>
        </w:rPr>
        <w:t>情况，扣除违约方交易保证金支付给守约方。违约金超过交易保证金的，超过部分双方按《中华人民共和国合同法》</w:t>
      </w:r>
      <w:r>
        <w:rPr>
          <w:rFonts w:hint="eastAsia" w:ascii="宋体" w:hAnsi="宋体" w:eastAsia="宋体" w:cs="宋体"/>
          <w:sz w:val="24"/>
          <w:szCs w:val="24"/>
          <w:lang w:eastAsia="zh-CN"/>
        </w:rPr>
        <w:t>通过其他途径</w:t>
      </w:r>
      <w:r>
        <w:rPr>
          <w:rFonts w:hint="eastAsia" w:ascii="宋体" w:hAnsi="宋体" w:eastAsia="宋体" w:cs="宋体"/>
          <w:sz w:val="24"/>
          <w:szCs w:val="24"/>
        </w:rPr>
        <w:t>另行处理。</w:t>
      </w:r>
    </w:p>
    <w:p w14:paraId="7962B1B9">
      <w:pPr>
        <w:keepNext w:val="0"/>
        <w:keepLines w:val="0"/>
        <w:pageBreakBefore w:val="0"/>
        <w:widowControl/>
        <w:kinsoku/>
        <w:wordWrap/>
        <w:overflowPunct/>
        <w:topLinePunct w:val="0"/>
        <w:autoSpaceDE/>
        <w:autoSpaceDN/>
        <w:bidi w:val="0"/>
        <w:adjustRightInd/>
        <w:spacing w:line="360" w:lineRule="auto"/>
        <w:ind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十一</w:t>
      </w:r>
      <w:r>
        <w:rPr>
          <w:rFonts w:hint="eastAsia" w:ascii="宋体" w:hAnsi="宋体" w:eastAsia="宋体" w:cs="宋体"/>
          <w:sz w:val="24"/>
          <w:szCs w:val="24"/>
        </w:rPr>
        <w:t>、</w:t>
      </w:r>
      <w:r>
        <w:rPr>
          <w:rFonts w:hint="eastAsia" w:ascii="宋体" w:hAnsi="宋体" w:eastAsia="宋体" w:cs="宋体"/>
          <w:sz w:val="24"/>
          <w:szCs w:val="24"/>
          <w:lang w:eastAsia="zh-CN"/>
        </w:rPr>
        <w:t>其他约定</w:t>
      </w:r>
      <w:r>
        <w:rPr>
          <w:rFonts w:hint="eastAsia" w:ascii="宋体" w:hAnsi="宋体" w:eastAsia="宋体" w:cs="宋体"/>
          <w:sz w:val="24"/>
          <w:szCs w:val="24"/>
        </w:rPr>
        <w:t>。（1）供方车辆在进入需方粮库，须听从粮库的指挥与安排。因供方擅自行动，影响粮库正常运转，造成损失，一切后果由供方承担。（2）交易纠纷的解决方式：本合同在履行过程中发生的争议，由甲乙双方协商解决；也可由国家粮</w:t>
      </w:r>
      <w:r>
        <w:rPr>
          <w:rFonts w:hint="eastAsia" w:ascii="宋体" w:hAnsi="宋体" w:eastAsia="宋体" w:cs="宋体"/>
          <w:sz w:val="24"/>
          <w:szCs w:val="24"/>
          <w:lang w:eastAsia="zh-CN"/>
        </w:rPr>
        <w:t>食浙江</w:t>
      </w:r>
      <w:r>
        <w:rPr>
          <w:rFonts w:hint="eastAsia" w:ascii="宋体" w:hAnsi="宋体" w:eastAsia="宋体" w:cs="宋体"/>
          <w:sz w:val="24"/>
          <w:szCs w:val="24"/>
        </w:rPr>
        <w:t>交易中心调解；协商或调解不成的，双方可向合同签约所在地有管辖权的人民法院提起诉讼。</w:t>
      </w:r>
    </w:p>
    <w:p w14:paraId="6517456D">
      <w:pPr>
        <w:keepNext w:val="0"/>
        <w:keepLines w:val="0"/>
        <w:pageBreakBefore w:val="0"/>
        <w:widowControl/>
        <w:kinsoku/>
        <w:wordWrap/>
        <w:overflowPunct/>
        <w:topLinePunct w:val="0"/>
        <w:autoSpaceDE/>
        <w:autoSpaceDN/>
        <w:bidi w:val="0"/>
        <w:adjustRightInd/>
        <w:spacing w:line="360" w:lineRule="auto"/>
        <w:ind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十</w:t>
      </w:r>
      <w:r>
        <w:rPr>
          <w:rFonts w:hint="eastAsia" w:ascii="宋体" w:hAnsi="宋体" w:eastAsia="宋体" w:cs="宋体"/>
          <w:sz w:val="24"/>
          <w:szCs w:val="24"/>
          <w:lang w:val="en-US" w:eastAsia="zh-CN"/>
        </w:rPr>
        <w:t>二</w:t>
      </w:r>
      <w:r>
        <w:rPr>
          <w:rFonts w:hint="eastAsia" w:ascii="宋体" w:hAnsi="宋体" w:eastAsia="宋体" w:cs="宋体"/>
          <w:sz w:val="24"/>
          <w:szCs w:val="24"/>
        </w:rPr>
        <w:t>、本合同未尽事宜，按《国家粮食浙江交易中心竞价网上交易规则》的有关规定执行。</w:t>
      </w:r>
    </w:p>
    <w:p w14:paraId="058211A9">
      <w:pPr>
        <w:keepNext w:val="0"/>
        <w:keepLines w:val="0"/>
        <w:pageBreakBefore w:val="0"/>
        <w:widowControl/>
        <w:kinsoku/>
        <w:wordWrap/>
        <w:overflowPunct/>
        <w:topLinePunct w:val="0"/>
        <w:autoSpaceDE/>
        <w:autoSpaceDN/>
        <w:bidi w:val="0"/>
        <w:adjustRightInd/>
        <w:spacing w:line="360" w:lineRule="auto"/>
        <w:ind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十</w:t>
      </w:r>
      <w:r>
        <w:rPr>
          <w:rFonts w:hint="eastAsia" w:ascii="宋体" w:hAnsi="宋体" w:eastAsia="宋体" w:cs="宋体"/>
          <w:sz w:val="24"/>
          <w:szCs w:val="24"/>
          <w:lang w:val="en-US" w:eastAsia="zh-CN"/>
        </w:rPr>
        <w:t>三</w:t>
      </w:r>
      <w:r>
        <w:rPr>
          <w:rFonts w:hint="eastAsia" w:ascii="宋体" w:hAnsi="宋体" w:eastAsia="宋体" w:cs="宋体"/>
          <w:sz w:val="24"/>
          <w:szCs w:val="24"/>
        </w:rPr>
        <w:t>、本合同自甲乙双方法定代表人（或委托代理人）签字及单位盖章后生效。</w:t>
      </w:r>
    </w:p>
    <w:p w14:paraId="0D61CCEC">
      <w:pPr>
        <w:keepNext w:val="0"/>
        <w:keepLines w:val="0"/>
        <w:pageBreakBefore w:val="0"/>
        <w:widowControl/>
        <w:kinsoku/>
        <w:wordWrap/>
        <w:overflowPunct/>
        <w:topLinePunct w:val="0"/>
        <w:autoSpaceDE/>
        <w:autoSpaceDN/>
        <w:bidi w:val="0"/>
        <w:adjustRightInd/>
        <w:spacing w:line="360" w:lineRule="auto"/>
        <w:ind w:firstLine="480" w:firstLineChars="200"/>
        <w:jc w:val="both"/>
        <w:textAlignment w:val="auto"/>
        <w:rPr>
          <w:rFonts w:hint="eastAsia" w:ascii="宋体" w:hAnsi="宋体" w:eastAsia="宋体" w:cs="宋体"/>
          <w:sz w:val="24"/>
          <w:szCs w:val="24"/>
        </w:rPr>
      </w:pPr>
      <w:r>
        <w:rPr>
          <w:rFonts w:hint="eastAsia" w:ascii="宋体" w:hAnsi="宋体" w:eastAsia="宋体" w:cs="宋体"/>
          <w:sz w:val="24"/>
          <w:szCs w:val="24"/>
        </w:rPr>
        <w:t>十</w:t>
      </w:r>
      <w:r>
        <w:rPr>
          <w:rFonts w:hint="eastAsia" w:ascii="宋体" w:hAnsi="宋体" w:eastAsia="宋体" w:cs="宋体"/>
          <w:sz w:val="24"/>
          <w:szCs w:val="24"/>
          <w:lang w:val="en-US" w:eastAsia="zh-CN"/>
        </w:rPr>
        <w:t>四</w:t>
      </w:r>
      <w:r>
        <w:rPr>
          <w:rFonts w:hint="eastAsia" w:ascii="宋体" w:hAnsi="宋体" w:eastAsia="宋体" w:cs="宋体"/>
          <w:sz w:val="24"/>
          <w:szCs w:val="24"/>
        </w:rPr>
        <w:t>、本</w:t>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"http://www.86exp.com/hetong/" </w:instrText>
      </w:r>
      <w:r>
        <w:rPr>
          <w:rFonts w:hint="eastAsia" w:ascii="宋体" w:hAnsi="宋体" w:eastAsia="宋体" w:cs="宋体"/>
          <w:sz w:val="24"/>
          <w:szCs w:val="24"/>
        </w:rPr>
        <w:fldChar w:fldCharType="separate"/>
      </w:r>
      <w:r>
        <w:rPr>
          <w:rFonts w:hint="eastAsia" w:ascii="宋体" w:hAnsi="宋体" w:eastAsia="宋体" w:cs="宋体"/>
          <w:sz w:val="24"/>
          <w:szCs w:val="24"/>
        </w:rPr>
        <w:t>合同</w:t>
      </w:r>
      <w:r>
        <w:rPr>
          <w:rFonts w:hint="eastAsia" w:ascii="宋体" w:hAnsi="宋体" w:eastAsia="宋体" w:cs="宋体"/>
          <w:sz w:val="24"/>
          <w:szCs w:val="24"/>
        </w:rPr>
        <w:fldChar w:fldCharType="end"/>
      </w:r>
      <w:r>
        <w:rPr>
          <w:rFonts w:hint="eastAsia" w:ascii="宋体" w:hAnsi="宋体" w:eastAsia="宋体" w:cs="宋体"/>
          <w:sz w:val="24"/>
          <w:szCs w:val="24"/>
        </w:rPr>
        <w:t>一式二份，双方各执一份。</w:t>
      </w:r>
    </w:p>
    <w:p w14:paraId="47DAC721">
      <w:pPr>
        <w:spacing w:line="520" w:lineRule="exact"/>
        <w:ind w:firstLine="525" w:firstLineChars="250"/>
        <w:jc w:val="both"/>
        <w:rPr>
          <w:rFonts w:hint="eastAsia" w:ascii="仿宋_GB2312" w:hAnsi="宋体" w:eastAsia="仿宋_GB2312" w:cs="Times New Roman"/>
        </w:rPr>
      </w:pPr>
    </w:p>
    <w:p w14:paraId="62923B7D">
      <w:pPr>
        <w:spacing w:line="360" w:lineRule="auto"/>
        <w:ind w:left="-840" w:leftChars="-400" w:right="-512" w:rightChars="-244" w:firstLine="0" w:firstLineChars="0"/>
        <w:rPr>
          <w:rFonts w:hint="eastAsia" w:ascii="宋体" w:hAnsi="宋体" w:eastAsia="宋体" w:cs="宋体"/>
          <w:color w:val="000000"/>
          <w:sz w:val="22"/>
          <w:szCs w:val="22"/>
          <w:u w:val="single"/>
        </w:rPr>
      </w:pPr>
      <w:r>
        <w:rPr>
          <w:rFonts w:hint="eastAsia" w:ascii="宋体" w:hAnsi="宋体"/>
          <w:sz w:val="22"/>
          <w:szCs w:val="22"/>
        </w:rPr>
        <w:t>甲方（盖章）：</w:t>
      </w:r>
      <w:r>
        <w:rPr>
          <w:rFonts w:hint="eastAsia" w:ascii="宋体" w:hAnsi="宋体" w:eastAsia="宋体" w:cs="宋体"/>
          <w:color w:val="000000"/>
          <w:sz w:val="22"/>
          <w:szCs w:val="22"/>
          <w:u w:val="single"/>
        </w:rPr>
        <w:t>建德市国有粮食收储有限公司</w:t>
      </w:r>
      <w:r>
        <w:rPr>
          <w:rFonts w:hint="eastAsia" w:ascii="宋体" w:hAnsi="宋体"/>
          <w:w w:val="80"/>
          <w:sz w:val="22"/>
          <w:szCs w:val="22"/>
          <w:u w:val="none"/>
          <w:lang w:val="en-US" w:eastAsia="zh-CN"/>
        </w:rPr>
        <w:t xml:space="preserve">   </w:t>
      </w:r>
      <w:r>
        <w:rPr>
          <w:rFonts w:hint="eastAsia" w:ascii="宋体" w:hAnsi="宋体"/>
          <w:sz w:val="22"/>
          <w:szCs w:val="22"/>
        </w:rPr>
        <w:t>乙方（盖章</w:t>
      </w:r>
      <w:r>
        <w:rPr>
          <w:rFonts w:hint="eastAsia" w:ascii="宋体" w:hAnsi="宋体"/>
          <w:sz w:val="22"/>
          <w:szCs w:val="22"/>
          <w:lang w:eastAsia="zh-CN"/>
        </w:rPr>
        <w:t>）：</w:t>
      </w:r>
      <w:r>
        <w:rPr>
          <w:rFonts w:hint="eastAsia" w:ascii="宋体" w:hAnsi="宋体" w:eastAsia="宋体" w:cs="宋体"/>
          <w:bCs/>
          <w:color w:val="FF0000"/>
          <w:sz w:val="22"/>
          <w:szCs w:val="22"/>
          <w:u w:val="single"/>
          <w:lang w:val="en-US" w:eastAsia="zh-CN"/>
        </w:rPr>
        <w:t xml:space="preserve">                           </w:t>
      </w:r>
      <w:r>
        <w:rPr>
          <w:rFonts w:hint="eastAsia" w:ascii="宋体" w:hAnsi="宋体" w:cs="Tahoma"/>
          <w:color w:val="000000"/>
          <w:sz w:val="22"/>
          <w:szCs w:val="22"/>
        </w:rPr>
        <w:t>；</w:t>
      </w:r>
    </w:p>
    <w:p w14:paraId="5EC96A63">
      <w:pPr>
        <w:widowControl w:val="0"/>
        <w:spacing w:line="360" w:lineRule="auto"/>
        <w:ind w:left="-840" w:leftChars="-400" w:right="-512" w:rightChars="-244" w:firstLine="0" w:firstLineChars="0"/>
        <w:rPr>
          <w:rFonts w:hint="eastAsia" w:ascii="宋体" w:hAnsi="宋体" w:eastAsia="宋体" w:cs="宋体"/>
          <w:color w:val="000000"/>
          <w:sz w:val="24"/>
          <w:szCs w:val="24"/>
        </w:rPr>
      </w:pPr>
      <w:r>
        <w:rPr>
          <w:rFonts w:hint="eastAsia" w:ascii="宋体" w:hAnsi="宋体" w:eastAsia="宋体" w:cs="宋体"/>
          <w:sz w:val="24"/>
          <w:szCs w:val="24"/>
        </w:rPr>
        <w:t>法定代表人：</w:t>
      </w:r>
      <w:r>
        <w:rPr>
          <w:rFonts w:hint="eastAsia" w:ascii="宋体" w:hAnsi="宋体" w:eastAsia="宋体" w:cs="宋体"/>
          <w:color w:val="000000"/>
          <w:sz w:val="24"/>
          <w:szCs w:val="24"/>
          <w:u w:val="single"/>
        </w:rPr>
        <w:t xml:space="preserve">      </w:t>
      </w:r>
      <w:r>
        <w:rPr>
          <w:rFonts w:hint="eastAsia" w:ascii="宋体" w:hAnsi="宋体" w:eastAsia="宋体" w:cs="宋体"/>
          <w:b/>
          <w:color w:val="000000"/>
          <w:sz w:val="24"/>
          <w:szCs w:val="24"/>
          <w:u w:val="single"/>
        </w:rPr>
        <w:t xml:space="preserve"> </w:t>
      </w:r>
      <w:r>
        <w:rPr>
          <w:rFonts w:hint="eastAsia" w:ascii="宋体" w:hAnsi="宋体" w:eastAsia="宋体" w:cs="宋体"/>
          <w:color w:val="000000"/>
          <w:sz w:val="24"/>
          <w:szCs w:val="24"/>
          <w:u w:val="single"/>
        </w:rPr>
        <w:t>(</w:t>
      </w:r>
      <w:r>
        <w:rPr>
          <w:rFonts w:hint="eastAsia" w:ascii="宋体" w:hAnsi="宋体" w:eastAsia="宋体" w:cs="宋体"/>
          <w:color w:val="000000"/>
          <w:sz w:val="24"/>
          <w:szCs w:val="24"/>
          <w:u w:val="single"/>
          <w:lang w:val="en-US" w:eastAsia="zh-CN"/>
        </w:rPr>
        <w:t>詹勇平)</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u w:val="single"/>
          <w:lang w:val="en-US" w:eastAsia="zh-CN"/>
        </w:rPr>
        <w:t xml:space="preserve">          </w:t>
      </w:r>
      <w:r>
        <w:rPr>
          <w:rFonts w:hint="eastAsia" w:ascii="宋体" w:hAnsi="宋体" w:eastAsia="宋体" w:cs="宋体"/>
          <w:color w:val="000000"/>
          <w:sz w:val="24"/>
          <w:szCs w:val="24"/>
          <w:u w:val="none"/>
          <w:lang w:val="en-US" w:eastAsia="zh-CN"/>
        </w:rPr>
        <w:t xml:space="preserve">   </w:t>
      </w:r>
      <w:r>
        <w:rPr>
          <w:rFonts w:hint="eastAsia" w:ascii="宋体" w:hAnsi="宋体" w:eastAsia="宋体" w:cs="宋体"/>
          <w:sz w:val="24"/>
          <w:szCs w:val="24"/>
        </w:rPr>
        <w:t>法定代表人：</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u w:val="single"/>
          <w:lang w:val="en-US" w:eastAsia="zh-CN"/>
        </w:rPr>
        <w:t xml:space="preserve">                  </w:t>
      </w:r>
      <w:r>
        <w:rPr>
          <w:rFonts w:hint="eastAsia" w:ascii="宋体" w:hAnsi="宋体" w:eastAsia="宋体" w:cs="宋体"/>
          <w:color w:val="000000"/>
          <w:sz w:val="24"/>
          <w:szCs w:val="24"/>
        </w:rPr>
        <w:t>；</w:t>
      </w:r>
    </w:p>
    <w:p w14:paraId="71CBA0F6">
      <w:pPr>
        <w:spacing w:line="360" w:lineRule="auto"/>
        <w:ind w:left="-840" w:leftChars="-400" w:right="-512" w:rightChars="-244" w:firstLine="0" w:firstLineChars="0"/>
        <w:rPr>
          <w:rFonts w:hint="eastAsia" w:ascii="宋体" w:hAnsi="宋体" w:eastAsia="宋体" w:cs="宋体"/>
          <w:color w:val="000000"/>
          <w:sz w:val="24"/>
          <w:szCs w:val="24"/>
        </w:rPr>
      </w:pPr>
      <w:r>
        <w:rPr>
          <w:rFonts w:hint="eastAsia" w:ascii="宋体" w:hAnsi="宋体" w:eastAsia="宋体" w:cs="宋体"/>
          <w:sz w:val="24"/>
          <w:szCs w:val="24"/>
        </w:rPr>
        <w:t>开户银行：</w:t>
      </w:r>
      <w:r>
        <w:rPr>
          <w:rFonts w:hint="eastAsia" w:ascii="宋体" w:hAnsi="宋体" w:eastAsia="宋体" w:cs="宋体"/>
          <w:sz w:val="24"/>
          <w:szCs w:val="24"/>
          <w:u w:val="single"/>
        </w:rPr>
        <w:t xml:space="preserve">  </w:t>
      </w:r>
      <w:r>
        <w:rPr>
          <w:rFonts w:hint="eastAsia" w:ascii="宋体" w:hAnsi="宋体" w:eastAsia="宋体" w:cs="宋体"/>
          <w:color w:val="000000"/>
          <w:sz w:val="24"/>
          <w:szCs w:val="24"/>
          <w:u w:val="single"/>
        </w:rPr>
        <w:t xml:space="preserve"> 建德市农业发展银行   </w:t>
      </w:r>
      <w:r>
        <w:rPr>
          <w:rFonts w:hint="eastAsia" w:ascii="宋体" w:hAnsi="宋体" w:eastAsia="宋体" w:cs="宋体"/>
          <w:color w:val="000000"/>
          <w:sz w:val="24"/>
          <w:szCs w:val="24"/>
          <w:u w:val="single"/>
          <w:lang w:val="en-US" w:eastAsia="zh-CN"/>
        </w:rPr>
        <w:t xml:space="preserve">     </w:t>
      </w:r>
      <w:r>
        <w:rPr>
          <w:rFonts w:hint="eastAsia" w:ascii="宋体" w:hAnsi="宋体" w:eastAsia="宋体" w:cs="宋体"/>
          <w:color w:val="000000"/>
          <w:sz w:val="24"/>
          <w:szCs w:val="24"/>
          <w:u w:val="none"/>
          <w:lang w:val="en-US" w:eastAsia="zh-CN"/>
        </w:rPr>
        <w:t xml:space="preserve">   </w:t>
      </w:r>
      <w:r>
        <w:rPr>
          <w:rFonts w:hint="eastAsia" w:ascii="宋体" w:hAnsi="宋体" w:eastAsia="宋体" w:cs="宋体"/>
          <w:sz w:val="24"/>
          <w:szCs w:val="24"/>
        </w:rPr>
        <w:t>开户银行：</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u w:val="single"/>
          <w:lang w:val="en-US" w:eastAsia="zh-CN"/>
        </w:rPr>
        <w:t xml:space="preserve">                    </w:t>
      </w:r>
      <w:r>
        <w:rPr>
          <w:rFonts w:hint="eastAsia" w:ascii="宋体" w:hAnsi="宋体" w:eastAsia="宋体" w:cs="宋体"/>
          <w:color w:val="000000"/>
          <w:sz w:val="24"/>
          <w:szCs w:val="24"/>
        </w:rPr>
        <w:t>；</w:t>
      </w:r>
    </w:p>
    <w:p w14:paraId="5A95F983">
      <w:pPr>
        <w:spacing w:line="360" w:lineRule="auto"/>
        <w:ind w:left="-840" w:leftChars="-400" w:right="-512" w:rightChars="-244" w:firstLine="0" w:firstLineChars="0"/>
        <w:rPr>
          <w:rFonts w:hint="eastAsia" w:ascii="宋体" w:hAnsi="宋体" w:eastAsia="宋体" w:cs="宋体"/>
          <w:color w:val="000000"/>
          <w:sz w:val="24"/>
          <w:szCs w:val="24"/>
        </w:rPr>
      </w:pPr>
      <w:r>
        <w:rPr>
          <w:rFonts w:hint="eastAsia" w:ascii="宋体" w:hAnsi="宋体" w:eastAsia="宋体" w:cs="宋体"/>
          <w:sz w:val="24"/>
          <w:szCs w:val="24"/>
          <w:lang w:eastAsia="zh-CN"/>
        </w:rPr>
        <w:t>银行账号</w:t>
      </w:r>
      <w:r>
        <w:rPr>
          <w:rFonts w:hint="eastAsia" w:ascii="宋体" w:hAnsi="宋体" w:eastAsia="宋体" w:cs="宋体"/>
          <w:sz w:val="24"/>
          <w:szCs w:val="24"/>
        </w:rPr>
        <w:t>：</w:t>
      </w:r>
      <w:r>
        <w:rPr>
          <w:rFonts w:hint="eastAsia" w:ascii="宋体" w:hAnsi="宋体" w:eastAsia="宋体" w:cs="宋体"/>
          <w:color w:val="000000"/>
          <w:sz w:val="24"/>
          <w:szCs w:val="24"/>
          <w:u w:val="single"/>
        </w:rPr>
        <w:t xml:space="preserve">20333018200100000001581 </w:t>
      </w:r>
      <w:r>
        <w:rPr>
          <w:rFonts w:hint="eastAsia" w:ascii="宋体" w:hAnsi="宋体" w:eastAsia="宋体" w:cs="宋体"/>
          <w:color w:val="000000"/>
          <w:sz w:val="24"/>
          <w:szCs w:val="24"/>
          <w:u w:val="single"/>
          <w:lang w:val="en-US" w:eastAsia="zh-CN"/>
        </w:rPr>
        <w:t xml:space="preserve">    </w:t>
      </w:r>
      <w:r>
        <w:rPr>
          <w:rFonts w:hint="eastAsia" w:ascii="宋体" w:hAnsi="宋体" w:eastAsia="宋体" w:cs="宋体"/>
          <w:color w:val="000000"/>
          <w:sz w:val="24"/>
          <w:szCs w:val="24"/>
          <w:u w:val="none"/>
          <w:lang w:val="en-US" w:eastAsia="zh-CN"/>
        </w:rPr>
        <w:t xml:space="preserve">    银行账号</w:t>
      </w:r>
      <w:r>
        <w:rPr>
          <w:rFonts w:hint="eastAsia" w:ascii="宋体" w:hAnsi="宋体" w:eastAsia="宋体" w:cs="宋体"/>
          <w:sz w:val="24"/>
          <w:szCs w:val="24"/>
        </w:rPr>
        <w:t>：</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u w:val="single"/>
          <w:lang w:val="en-US" w:eastAsia="zh-CN"/>
        </w:rPr>
        <w:t xml:space="preserve">                   </w:t>
      </w:r>
      <w:r>
        <w:rPr>
          <w:rFonts w:hint="eastAsia" w:ascii="宋体" w:hAnsi="宋体" w:eastAsia="宋体" w:cs="宋体"/>
          <w:color w:val="000000"/>
          <w:sz w:val="24"/>
          <w:szCs w:val="24"/>
        </w:rPr>
        <w:t>；</w:t>
      </w:r>
    </w:p>
    <w:p w14:paraId="27B5C549">
      <w:pPr>
        <w:spacing w:line="360" w:lineRule="auto"/>
        <w:ind w:left="-840" w:leftChars="-400" w:right="-512" w:rightChars="-244" w:firstLine="0" w:firstLineChars="0"/>
        <w:rPr>
          <w:rFonts w:hint="eastAsia" w:ascii="宋体" w:hAnsi="宋体" w:eastAsia="宋体" w:cs="宋体"/>
          <w:color w:val="000000"/>
          <w:sz w:val="24"/>
          <w:szCs w:val="24"/>
        </w:rPr>
      </w:pPr>
      <w:r>
        <w:rPr>
          <w:rFonts w:hint="eastAsia" w:ascii="宋体" w:hAnsi="宋体" w:eastAsia="宋体" w:cs="宋体"/>
          <w:sz w:val="24"/>
          <w:szCs w:val="24"/>
        </w:rPr>
        <w:t>单位地址：</w:t>
      </w:r>
      <w:r>
        <w:rPr>
          <w:rFonts w:hint="eastAsia" w:ascii="宋体" w:hAnsi="宋体" w:eastAsia="宋体" w:cs="宋体"/>
          <w:color w:val="000000"/>
          <w:sz w:val="24"/>
          <w:szCs w:val="24"/>
          <w:u w:val="single"/>
        </w:rPr>
        <w:t>建德市新安江街道望江路22号</w:t>
      </w:r>
      <w:r>
        <w:rPr>
          <w:rFonts w:hint="eastAsia" w:ascii="宋体" w:hAnsi="宋体" w:eastAsia="宋体" w:cs="宋体"/>
          <w:color w:val="000000"/>
          <w:sz w:val="24"/>
          <w:szCs w:val="24"/>
          <w:u w:val="single"/>
          <w:lang w:val="en-US" w:eastAsia="zh-CN"/>
        </w:rPr>
        <w:t xml:space="preserve">   </w:t>
      </w:r>
      <w:r>
        <w:rPr>
          <w:rFonts w:hint="eastAsia" w:ascii="宋体" w:hAnsi="宋体" w:eastAsia="宋体" w:cs="宋体"/>
          <w:color w:val="000000"/>
          <w:w w:val="90"/>
          <w:sz w:val="24"/>
          <w:szCs w:val="24"/>
          <w:u w:val="none"/>
          <w:lang w:val="en-US" w:eastAsia="zh-CN"/>
        </w:rPr>
        <w:t xml:space="preserve">   </w:t>
      </w:r>
      <w:r>
        <w:rPr>
          <w:rFonts w:hint="eastAsia" w:ascii="宋体" w:hAnsi="宋体" w:eastAsia="宋体" w:cs="宋体"/>
          <w:sz w:val="24"/>
          <w:szCs w:val="24"/>
        </w:rPr>
        <w:t>单位地址：</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u w:val="single"/>
          <w:lang w:val="en-US" w:eastAsia="zh-CN"/>
        </w:rPr>
        <w:t xml:space="preserve">                   </w:t>
      </w:r>
      <w:r>
        <w:rPr>
          <w:rFonts w:hint="eastAsia" w:ascii="宋体" w:hAnsi="宋体" w:eastAsia="宋体" w:cs="宋体"/>
          <w:color w:val="000000"/>
          <w:sz w:val="24"/>
          <w:szCs w:val="24"/>
        </w:rPr>
        <w:t>；</w:t>
      </w:r>
    </w:p>
    <w:p w14:paraId="73FCE600">
      <w:pPr>
        <w:spacing w:line="360" w:lineRule="auto"/>
        <w:ind w:left="-840" w:leftChars="-400" w:right="-512" w:rightChars="-244" w:firstLine="0" w:firstLineChars="0"/>
        <w:rPr>
          <w:rFonts w:hint="eastAsia" w:ascii="宋体" w:hAnsi="宋体" w:eastAsia="宋体" w:cs="宋体"/>
          <w:color w:val="000000"/>
          <w:sz w:val="24"/>
          <w:szCs w:val="24"/>
        </w:rPr>
      </w:pPr>
      <w:r>
        <w:rPr>
          <w:rFonts w:hint="eastAsia" w:ascii="宋体" w:hAnsi="宋体" w:eastAsia="宋体" w:cs="宋体"/>
          <w:sz w:val="24"/>
          <w:szCs w:val="24"/>
        </w:rPr>
        <w:t>邮政编码：</w:t>
      </w:r>
      <w:r>
        <w:rPr>
          <w:rFonts w:hint="eastAsia" w:ascii="宋体" w:hAnsi="宋体" w:eastAsia="宋体" w:cs="宋体"/>
          <w:color w:val="000000"/>
          <w:sz w:val="24"/>
          <w:szCs w:val="24"/>
          <w:u w:val="single"/>
        </w:rPr>
        <w:t xml:space="preserve">       311600           </w:t>
      </w:r>
      <w:r>
        <w:rPr>
          <w:rFonts w:hint="eastAsia" w:ascii="宋体" w:hAnsi="宋体" w:eastAsia="宋体" w:cs="宋体"/>
          <w:color w:val="000000"/>
          <w:sz w:val="24"/>
          <w:szCs w:val="24"/>
          <w:u w:val="single"/>
          <w:lang w:val="en-US" w:eastAsia="zh-CN"/>
        </w:rPr>
        <w:t xml:space="preserve">   </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u w:val="single"/>
          <w:lang w:val="en-US" w:eastAsia="zh-CN"/>
        </w:rPr>
        <w:t xml:space="preserve"> </w:t>
      </w:r>
      <w:r>
        <w:rPr>
          <w:rFonts w:hint="eastAsia" w:ascii="宋体" w:hAnsi="宋体" w:eastAsia="宋体" w:cs="宋体"/>
          <w:color w:val="000000"/>
          <w:sz w:val="24"/>
          <w:szCs w:val="24"/>
          <w:u w:val="none"/>
          <w:lang w:val="en-US" w:eastAsia="zh-CN"/>
        </w:rPr>
        <w:t xml:space="preserve">   </w:t>
      </w:r>
      <w:r>
        <w:rPr>
          <w:rFonts w:hint="eastAsia" w:ascii="宋体" w:hAnsi="宋体" w:eastAsia="宋体" w:cs="宋体"/>
          <w:sz w:val="24"/>
          <w:szCs w:val="24"/>
        </w:rPr>
        <w:t>邮政编码：</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u w:val="single"/>
          <w:lang w:val="en-US" w:eastAsia="zh-CN"/>
        </w:rPr>
        <w:t xml:space="preserve">                    </w:t>
      </w:r>
      <w:r>
        <w:rPr>
          <w:rFonts w:hint="eastAsia" w:ascii="宋体" w:hAnsi="宋体" w:eastAsia="宋体" w:cs="宋体"/>
          <w:color w:val="000000"/>
          <w:sz w:val="24"/>
          <w:szCs w:val="24"/>
        </w:rPr>
        <w:t>；</w:t>
      </w:r>
    </w:p>
    <w:p w14:paraId="05ADBD6E">
      <w:pPr>
        <w:spacing w:line="360" w:lineRule="auto"/>
        <w:ind w:left="-840" w:leftChars="-400" w:right="-512" w:rightChars="-244" w:firstLine="0" w:firstLineChars="0"/>
        <w:rPr>
          <w:rFonts w:hint="eastAsia" w:ascii="宋体" w:hAnsi="宋体" w:eastAsia="宋体" w:cs="宋体"/>
          <w:color w:val="000000"/>
          <w:sz w:val="24"/>
          <w:szCs w:val="24"/>
        </w:rPr>
      </w:pPr>
      <w:r>
        <w:rPr>
          <w:rFonts w:hint="eastAsia" w:ascii="宋体" w:hAnsi="宋体" w:eastAsia="宋体" w:cs="宋体"/>
          <w:sz w:val="24"/>
          <w:szCs w:val="24"/>
        </w:rPr>
        <w:t>联系电话：</w:t>
      </w:r>
      <w:r>
        <w:rPr>
          <w:rFonts w:hint="eastAsia" w:ascii="宋体" w:hAnsi="宋体" w:eastAsia="宋体" w:cs="宋体"/>
          <w:sz w:val="24"/>
          <w:szCs w:val="24"/>
          <w:u w:val="single"/>
        </w:rPr>
        <w:t xml:space="preserve"> </w:t>
      </w:r>
      <w:r>
        <w:rPr>
          <w:rFonts w:hint="eastAsia" w:ascii="宋体" w:hAnsi="宋体" w:eastAsia="宋体" w:cs="宋体"/>
          <w:color w:val="000000"/>
          <w:sz w:val="24"/>
          <w:szCs w:val="24"/>
          <w:u w:val="single"/>
        </w:rPr>
        <w:t xml:space="preserve">    0571-64784414    </w:t>
      </w:r>
      <w:r>
        <w:rPr>
          <w:rFonts w:hint="eastAsia" w:ascii="宋体" w:hAnsi="宋体" w:eastAsia="宋体" w:cs="宋体"/>
          <w:color w:val="000000"/>
          <w:sz w:val="24"/>
          <w:szCs w:val="24"/>
          <w:u w:val="single"/>
          <w:lang w:val="en-US" w:eastAsia="zh-CN"/>
        </w:rPr>
        <w:t xml:space="preserve"> </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u w:val="single"/>
          <w:lang w:val="en-US" w:eastAsia="zh-CN"/>
        </w:rPr>
        <w:t xml:space="preserve">   </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u w:val="none"/>
          <w:lang w:val="en-US" w:eastAsia="zh-CN"/>
        </w:rPr>
        <w:t xml:space="preserve">   </w:t>
      </w:r>
      <w:r>
        <w:rPr>
          <w:rFonts w:hint="eastAsia" w:ascii="宋体" w:hAnsi="宋体" w:eastAsia="宋体" w:cs="宋体"/>
          <w:sz w:val="24"/>
          <w:szCs w:val="24"/>
        </w:rPr>
        <w:t>联系电话：</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u w:val="single"/>
          <w:lang w:val="en-US" w:eastAsia="zh-CN"/>
        </w:rPr>
        <w:t xml:space="preserve">                        </w:t>
      </w:r>
      <w:r>
        <w:rPr>
          <w:rFonts w:hint="eastAsia" w:ascii="宋体" w:hAnsi="宋体" w:eastAsia="宋体" w:cs="宋体"/>
          <w:color w:val="000000"/>
          <w:sz w:val="24"/>
          <w:szCs w:val="24"/>
        </w:rPr>
        <w:t>；</w:t>
      </w:r>
    </w:p>
    <w:p w14:paraId="1F137FE3">
      <w:pPr>
        <w:spacing w:line="360" w:lineRule="auto"/>
        <w:ind w:left="-840" w:leftChars="-400" w:right="-512" w:rightChars="-244" w:firstLine="0" w:firstLineChars="0"/>
        <w:rPr>
          <w:rFonts w:hint="eastAsia" w:ascii="宋体" w:hAnsi="宋体" w:eastAsia="宋体" w:cs="宋体"/>
        </w:rPr>
      </w:pPr>
      <w:r>
        <w:rPr>
          <w:rFonts w:hint="eastAsia" w:ascii="宋体" w:hAnsi="宋体" w:eastAsia="宋体" w:cs="宋体"/>
          <w:sz w:val="24"/>
          <w:szCs w:val="24"/>
        </w:rPr>
        <w:t>传真：</w:t>
      </w:r>
      <w:r>
        <w:rPr>
          <w:rFonts w:hint="eastAsia" w:ascii="宋体" w:hAnsi="宋体" w:eastAsia="宋体" w:cs="宋体"/>
          <w:color w:val="000000"/>
          <w:sz w:val="24"/>
          <w:szCs w:val="24"/>
          <w:u w:val="single"/>
        </w:rPr>
        <w:t xml:space="preserve">         0571-64784312     </w:t>
      </w:r>
      <w:r>
        <w:rPr>
          <w:rFonts w:hint="eastAsia" w:ascii="宋体" w:hAnsi="宋体" w:eastAsia="宋体" w:cs="宋体"/>
          <w:color w:val="000000"/>
          <w:sz w:val="24"/>
          <w:szCs w:val="24"/>
          <w:u w:val="single"/>
          <w:lang w:val="en-US" w:eastAsia="zh-CN"/>
        </w:rPr>
        <w:t xml:space="preserve">   </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u w:val="single"/>
          <w:lang w:val="en-US" w:eastAsia="zh-CN"/>
        </w:rPr>
        <w:t xml:space="preserve">  </w:t>
      </w:r>
      <w:r>
        <w:rPr>
          <w:rFonts w:hint="eastAsia" w:ascii="宋体" w:hAnsi="宋体" w:eastAsia="宋体" w:cs="宋体"/>
          <w:color w:val="000000"/>
          <w:sz w:val="24"/>
          <w:szCs w:val="24"/>
          <w:u w:val="none"/>
          <w:lang w:val="en-US" w:eastAsia="zh-CN"/>
        </w:rPr>
        <w:t xml:space="preserve">   </w:t>
      </w:r>
      <w:r>
        <w:rPr>
          <w:rFonts w:hint="eastAsia" w:ascii="宋体" w:hAnsi="宋体" w:eastAsia="宋体" w:cs="宋体"/>
          <w:sz w:val="24"/>
          <w:szCs w:val="24"/>
        </w:rPr>
        <w:t>传真：</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u w:val="single"/>
          <w:lang w:val="en-US" w:eastAsia="zh-CN"/>
        </w:rPr>
        <w:t xml:space="preserve">                          </w:t>
      </w:r>
      <w:r>
        <w:rPr>
          <w:rFonts w:hint="eastAsia" w:ascii="宋体" w:hAnsi="宋体" w:eastAsia="宋体" w:cs="宋体"/>
          <w:color w:val="000000"/>
          <w:sz w:val="24"/>
          <w:szCs w:val="24"/>
        </w:rPr>
        <w:t>；</w:t>
      </w:r>
    </w:p>
    <w:p w14:paraId="60A6F196">
      <w:pPr>
        <w:tabs>
          <w:tab w:val="left" w:pos="8505"/>
        </w:tabs>
        <w:spacing w:line="360" w:lineRule="auto"/>
        <w:ind w:firstLine="3480" w:firstLineChars="1450"/>
        <w:rPr>
          <w:rFonts w:hint="eastAsia" w:ascii="宋体" w:hAnsi="宋体" w:eastAsia="宋体" w:cs="宋体"/>
          <w:sz w:val="24"/>
          <w:szCs w:val="24"/>
        </w:rPr>
      </w:pPr>
    </w:p>
    <w:p w14:paraId="6917F11C">
      <w:pPr>
        <w:tabs>
          <w:tab w:val="left" w:pos="8505"/>
        </w:tabs>
        <w:spacing w:line="360" w:lineRule="auto"/>
        <w:ind w:firstLine="3480" w:firstLineChars="1450"/>
        <w:rPr>
          <w:rFonts w:hint="eastAsia" w:ascii="宋体" w:hAnsi="宋体" w:eastAsia="宋体" w:cs="宋体"/>
          <w:sz w:val="24"/>
          <w:szCs w:val="24"/>
        </w:rPr>
      </w:pPr>
      <w:r>
        <w:rPr>
          <w:rFonts w:hint="eastAsia" w:ascii="宋体" w:hAnsi="宋体" w:eastAsia="宋体" w:cs="宋体"/>
          <w:sz w:val="24"/>
          <w:szCs w:val="24"/>
        </w:rPr>
        <w:t>签约地点：建德市国有粮食收储有限公司</w:t>
      </w:r>
      <w:r>
        <w:rPr>
          <w:rFonts w:hint="eastAsia" w:ascii="宋体" w:hAnsi="宋体" w:eastAsia="宋体" w:cs="宋体"/>
          <w:sz w:val="24"/>
          <w:szCs w:val="24"/>
        </w:rPr>
        <w:tab/>
      </w:r>
    </w:p>
    <w:p w14:paraId="38986B91">
      <w:pPr>
        <w:spacing w:line="360" w:lineRule="auto"/>
        <w:ind w:firstLine="4080" w:firstLineChars="1700"/>
        <w:rPr>
          <w:rFonts w:hint="eastAsia" w:ascii="宋体" w:hAnsi="宋体" w:eastAsia="宋体" w:cs="宋体"/>
          <w:sz w:val="24"/>
          <w:szCs w:val="24"/>
        </w:rPr>
      </w:pPr>
      <w:r>
        <w:rPr>
          <w:rFonts w:hint="eastAsia" w:ascii="宋体" w:hAnsi="宋体" w:eastAsia="宋体" w:cs="宋体"/>
          <w:sz w:val="24"/>
          <w:szCs w:val="24"/>
        </w:rPr>
        <w:t xml:space="preserve">签约时间：   </w:t>
      </w:r>
      <w:r>
        <w:rPr>
          <w:rFonts w:hint="eastAsia" w:ascii="宋体" w:hAnsi="宋体" w:eastAsia="宋体" w:cs="宋体"/>
          <w:color w:val="FF0000"/>
          <w:sz w:val="24"/>
          <w:szCs w:val="24"/>
          <w:lang w:val="en-US" w:eastAsia="zh-CN"/>
        </w:rPr>
        <w:t>2025</w:t>
      </w:r>
      <w:r>
        <w:rPr>
          <w:rFonts w:hint="eastAsia" w:ascii="宋体" w:hAnsi="宋体" w:eastAsia="宋体" w:cs="宋体"/>
          <w:color w:val="FF0000"/>
          <w:sz w:val="24"/>
          <w:szCs w:val="24"/>
        </w:rPr>
        <w:t>年</w:t>
      </w:r>
      <w:r>
        <w:rPr>
          <w:rFonts w:hint="eastAsia" w:ascii="宋体" w:hAnsi="宋体" w:eastAsia="宋体" w:cs="宋体"/>
          <w:color w:val="FF0000"/>
          <w:sz w:val="24"/>
          <w:szCs w:val="24"/>
          <w:lang w:val="en-US" w:eastAsia="zh-CN"/>
        </w:rPr>
        <w:t>11</w:t>
      </w:r>
      <w:r>
        <w:rPr>
          <w:rFonts w:hint="eastAsia" w:ascii="宋体" w:hAnsi="宋体" w:eastAsia="宋体" w:cs="宋体"/>
          <w:color w:val="FF0000"/>
          <w:sz w:val="24"/>
          <w:szCs w:val="24"/>
        </w:rPr>
        <w:t>月</w:t>
      </w:r>
      <w:r>
        <w:rPr>
          <w:rFonts w:hint="eastAsia" w:ascii="宋体" w:hAnsi="宋体" w:eastAsia="宋体" w:cs="宋体"/>
          <w:color w:val="FF0000"/>
          <w:sz w:val="24"/>
          <w:szCs w:val="24"/>
          <w:lang w:val="en-US" w:eastAsia="zh-CN"/>
        </w:rPr>
        <w:t>18</w:t>
      </w:r>
      <w:r>
        <w:rPr>
          <w:rFonts w:hint="eastAsia" w:ascii="宋体" w:hAnsi="宋体" w:eastAsia="宋体" w:cs="宋体"/>
          <w:color w:val="FF0000"/>
          <w:sz w:val="24"/>
          <w:szCs w:val="24"/>
        </w:rPr>
        <w:t>日</w:t>
      </w:r>
    </w:p>
    <w:p w14:paraId="059A92CD">
      <w:pPr>
        <w:spacing w:line="560" w:lineRule="exact"/>
        <w:rPr>
          <w:rFonts w:hint="eastAsia" w:ascii="仿宋_GB2312" w:hAnsi="宋体" w:eastAsia="仿宋_GB2312"/>
        </w:rPr>
      </w:pPr>
    </w:p>
    <w:p w14:paraId="2471FD9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NlNjY5OGFhMGM1NGRlOWIwMzcxODdlZjE4MmZmZTkifQ=="/>
  </w:docVars>
  <w:rsids>
    <w:rsidRoot w:val="00000000"/>
    <w:rsid w:val="04A37B95"/>
    <w:rsid w:val="07734E8B"/>
    <w:rsid w:val="09272E1D"/>
    <w:rsid w:val="09B02E75"/>
    <w:rsid w:val="0DC74974"/>
    <w:rsid w:val="12645618"/>
    <w:rsid w:val="133A516D"/>
    <w:rsid w:val="14600FFF"/>
    <w:rsid w:val="21EC1A9E"/>
    <w:rsid w:val="25AD1BAD"/>
    <w:rsid w:val="285D1F0A"/>
    <w:rsid w:val="29F63263"/>
    <w:rsid w:val="2AB770D7"/>
    <w:rsid w:val="2F4022F6"/>
    <w:rsid w:val="2F87420B"/>
    <w:rsid w:val="30230CBD"/>
    <w:rsid w:val="327C7E17"/>
    <w:rsid w:val="32FE508D"/>
    <w:rsid w:val="33B7419A"/>
    <w:rsid w:val="362174C1"/>
    <w:rsid w:val="37EA6DEC"/>
    <w:rsid w:val="3DCA1EDD"/>
    <w:rsid w:val="43197667"/>
    <w:rsid w:val="4723668C"/>
    <w:rsid w:val="487724A2"/>
    <w:rsid w:val="48C05D7E"/>
    <w:rsid w:val="4D193F2E"/>
    <w:rsid w:val="5D776785"/>
    <w:rsid w:val="5D845EA0"/>
    <w:rsid w:val="5DE02D8D"/>
    <w:rsid w:val="5FC93629"/>
    <w:rsid w:val="67211BC6"/>
    <w:rsid w:val="675E4E4A"/>
    <w:rsid w:val="6A731CB6"/>
    <w:rsid w:val="6B112766"/>
    <w:rsid w:val="6C045AD4"/>
    <w:rsid w:val="706E6103"/>
    <w:rsid w:val="761E033F"/>
    <w:rsid w:val="763F0FC9"/>
    <w:rsid w:val="77926B2F"/>
    <w:rsid w:val="796556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autoRedefine/>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 w:type="character" w:styleId="4">
    <w:name w:val="Strong"/>
    <w:basedOn w:val="3"/>
    <w:qFormat/>
    <w:uiPriority w:val="0"/>
    <w:rPr>
      <w:b/>
      <w:bCs/>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1856</Words>
  <Characters>2015</Characters>
  <Lines>0</Lines>
  <Paragraphs>0</Paragraphs>
  <TotalTime>6</TotalTime>
  <ScaleCrop>false</ScaleCrop>
  <LinksUpToDate>false</LinksUpToDate>
  <CharactersWithSpaces>2406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2022-06-07T02:24:00Z</dcterms:created>
  <dc:creator>Administrator</dc:creator>
  <cp:lastModifiedBy>丰莹</cp:lastModifiedBy>
  <cp:lastPrinted>2025-05-20T08:44:00Z</cp:lastPrinted>
  <dcterms:modified xsi:type="dcterms:W3CDTF">2025-11-11T06:03:52Z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28A0C41EEEE74B18878D8EE865AAD502</vt:lpwstr>
  </property>
  <property fmtid="{D5CDD505-2E9C-101B-9397-08002B2CF9AE}" pid="4" name="KSOTemplateDocerSaveRecord">
    <vt:lpwstr>eyJoZGlkIjoiZmJlYzM5NDg1MzliNWQzZjcyNzBhYTU2ZDA4MmU0NTciLCJ1c2VySWQiOiIyODkxODI0NDkifQ==</vt:lpwstr>
  </property>
</Properties>
</file>