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60" w:lineRule="exact"/>
        <w:jc w:val="right"/>
        <w:rPr>
          <w:rFonts w:ascii="宋体" w:hAnsi="宋体"/>
          <w:szCs w:val="21"/>
        </w:rPr>
      </w:pPr>
      <w:r>
        <w:rPr>
          <w:rFonts w:hint="eastAsia" w:ascii="宋体" w:hAnsi="宋体"/>
          <w:sz w:val="32"/>
          <w:szCs w:val="32"/>
        </w:rPr>
        <w:t xml:space="preserve">  </w:t>
      </w:r>
    </w:p>
    <w:p>
      <w:pPr>
        <w:spacing w:line="460" w:lineRule="exact"/>
        <w:jc w:val="center"/>
        <w:rPr>
          <w:rFonts w:ascii="宋体" w:hAnsi="宋体"/>
          <w:sz w:val="32"/>
          <w:szCs w:val="32"/>
        </w:rPr>
      </w:pPr>
      <w:r>
        <w:rPr>
          <w:rFonts w:hint="eastAsia" w:ascii="宋体" w:hAnsi="宋体"/>
          <w:sz w:val="32"/>
          <w:szCs w:val="32"/>
        </w:rPr>
        <w:t>农副产品购销合同</w:t>
      </w:r>
    </w:p>
    <w:p>
      <w:pPr>
        <w:spacing w:line="460" w:lineRule="exact"/>
        <w:rPr>
          <w:rFonts w:hint="default" w:ascii="宋体" w:hAnsi="宋体" w:eastAsia="宋体"/>
          <w:szCs w:val="21"/>
          <w:lang w:val="en-US" w:eastAsia="zh-CN"/>
        </w:rPr>
      </w:pPr>
      <w:r>
        <w:rPr>
          <w:rFonts w:hint="eastAsia" w:ascii="宋体" w:hAnsi="宋体"/>
          <w:sz w:val="24"/>
        </w:rPr>
        <w:t>供    方：</w:t>
      </w:r>
      <w:r>
        <w:rPr>
          <w:rFonts w:hint="eastAsia" w:ascii="宋体" w:hAnsi="宋体"/>
          <w:sz w:val="24"/>
          <w:u w:val="single"/>
        </w:rPr>
        <w:t>杭州市富阳区粮食收储有限公司</w:t>
      </w: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合同编号：</w:t>
      </w:r>
      <w:r>
        <w:rPr>
          <w:rFonts w:hint="eastAsia" w:ascii="宋体" w:hAnsi="宋体"/>
          <w:szCs w:val="21"/>
        </w:rPr>
        <w:t>富粮商销202</w:t>
      </w:r>
      <w:r>
        <w:rPr>
          <w:rFonts w:hint="eastAsia" w:ascii="宋体" w:hAnsi="宋体"/>
          <w:szCs w:val="21"/>
          <w:lang w:val="en-US" w:eastAsia="zh-CN"/>
        </w:rPr>
        <w:t>5027</w:t>
      </w:r>
    </w:p>
    <w:p>
      <w:pPr>
        <w:spacing w:line="460" w:lineRule="exact"/>
        <w:rPr>
          <w:rFonts w:ascii="宋体" w:hAnsi="宋体"/>
          <w:sz w:val="24"/>
        </w:rPr>
      </w:pPr>
      <w:r>
        <w:rPr>
          <w:rFonts w:hint="eastAsia" w:ascii="宋体" w:hAnsi="宋体"/>
          <w:sz w:val="24"/>
        </w:rPr>
        <w:t>需    方：</w:t>
      </w:r>
      <w:r>
        <w:rPr>
          <w:rFonts w:hint="eastAsia" w:ascii="宋体" w:hAnsi="宋体"/>
          <w:sz w:val="24"/>
          <w:u w:val="single"/>
          <w:lang w:val="en-US" w:eastAsia="zh-CN"/>
        </w:rPr>
        <w:t xml:space="preserve">                            </w:t>
      </w:r>
      <w:r>
        <w:rPr>
          <w:rFonts w:hint="eastAsia" w:ascii="宋体" w:hAnsi="宋体"/>
          <w:sz w:val="24"/>
          <w:lang w:val="en-US" w:eastAsia="zh-CN"/>
        </w:rPr>
        <w:t xml:space="preserve">      </w:t>
      </w:r>
      <w:r>
        <w:rPr>
          <w:rFonts w:hint="eastAsia" w:ascii="宋体" w:hAnsi="宋体"/>
          <w:sz w:val="24"/>
        </w:rPr>
        <w:t>签约地点：富阳</w:t>
      </w:r>
    </w:p>
    <w:p>
      <w:pPr>
        <w:spacing w:line="460" w:lineRule="exact"/>
        <w:ind w:firstLine="480" w:firstLineChars="200"/>
        <w:rPr>
          <w:rFonts w:ascii="宋体" w:hAnsi="宋体"/>
          <w:sz w:val="24"/>
        </w:rPr>
      </w:pP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日期：20</w:t>
      </w:r>
      <w:r>
        <w:rPr>
          <w:rFonts w:hint="eastAsia" w:ascii="宋体" w:hAnsi="宋体"/>
          <w:sz w:val="24"/>
          <w:lang w:val="en-US" w:eastAsia="zh-CN"/>
        </w:rPr>
        <w:t>25</w:t>
      </w:r>
      <w:r>
        <w:rPr>
          <w:rFonts w:hint="eastAsia" w:ascii="宋体" w:hAnsi="宋体"/>
          <w:sz w:val="24"/>
        </w:rPr>
        <w:t>年</w:t>
      </w:r>
      <w:r>
        <w:rPr>
          <w:rFonts w:hint="eastAsia" w:ascii="宋体" w:hAnsi="宋体"/>
          <w:sz w:val="24"/>
          <w:lang w:val="en-US" w:eastAsia="zh-CN"/>
        </w:rPr>
        <w:t>11</w:t>
      </w:r>
      <w:r>
        <w:rPr>
          <w:rFonts w:hint="eastAsia" w:ascii="宋体" w:hAnsi="宋体"/>
          <w:sz w:val="24"/>
        </w:rPr>
        <w:t>月</w:t>
      </w:r>
      <w:r>
        <w:rPr>
          <w:rFonts w:hint="eastAsia" w:ascii="宋体" w:hAnsi="宋体"/>
          <w:sz w:val="24"/>
          <w:lang w:val="en-US" w:eastAsia="zh-CN"/>
        </w:rPr>
        <w:t>18</w:t>
      </w:r>
      <w:r>
        <w:rPr>
          <w:rFonts w:hint="eastAsia" w:ascii="宋体" w:hAnsi="宋体"/>
          <w:sz w:val="24"/>
        </w:rPr>
        <w:t>日</w:t>
      </w:r>
    </w:p>
    <w:p>
      <w:pPr>
        <w:spacing w:line="460" w:lineRule="exact"/>
        <w:ind w:firstLine="480" w:firstLineChars="200"/>
        <w:rPr>
          <w:rFonts w:ascii="宋体" w:hAnsi="宋体"/>
          <w:sz w:val="24"/>
        </w:rPr>
      </w:pPr>
      <w:r>
        <w:rPr>
          <w:rFonts w:hint="eastAsia" w:ascii="宋体" w:hAnsi="宋体"/>
          <w:sz w:val="24"/>
        </w:rPr>
        <w:t>一、品种、</w:t>
      </w:r>
      <w:r>
        <w:rPr>
          <w:rFonts w:hint="eastAsia" w:ascii="宋体" w:hAnsi="宋体"/>
          <w:sz w:val="24"/>
          <w:lang w:val="en-US" w:eastAsia="zh-CN"/>
        </w:rPr>
        <w:t>仓号</w:t>
      </w:r>
      <w:r>
        <w:rPr>
          <w:rFonts w:hint="eastAsia" w:ascii="宋体" w:hAnsi="宋体"/>
          <w:sz w:val="24"/>
        </w:rPr>
        <w:t>、</w:t>
      </w:r>
      <w:r>
        <w:rPr>
          <w:rFonts w:hint="eastAsia" w:ascii="宋体" w:hAnsi="宋体"/>
          <w:sz w:val="24"/>
          <w:lang w:val="en-US" w:eastAsia="zh-CN"/>
        </w:rPr>
        <w:t>数量、</w:t>
      </w:r>
      <w:r>
        <w:rPr>
          <w:rFonts w:hint="eastAsia" w:ascii="宋体" w:hAnsi="宋体"/>
          <w:sz w:val="24"/>
        </w:rPr>
        <w:t>金额、</w:t>
      </w:r>
      <w:r>
        <w:rPr>
          <w:rFonts w:hint="eastAsia" w:ascii="宋体" w:hAnsi="宋体"/>
          <w:sz w:val="24"/>
          <w:lang w:val="en-US" w:eastAsia="zh-CN"/>
        </w:rPr>
        <w:t>提</w:t>
      </w:r>
      <w:r>
        <w:rPr>
          <w:rFonts w:hint="eastAsia" w:ascii="宋体" w:hAnsi="宋体"/>
          <w:sz w:val="24"/>
        </w:rPr>
        <w:t>货</w:t>
      </w:r>
      <w:r>
        <w:rPr>
          <w:rFonts w:hint="eastAsia" w:ascii="宋体" w:hAnsi="宋体"/>
          <w:sz w:val="24"/>
          <w:lang w:val="en-US" w:eastAsia="zh-CN"/>
        </w:rPr>
        <w:t>截止</w:t>
      </w:r>
      <w:r>
        <w:rPr>
          <w:rFonts w:hint="eastAsia" w:ascii="宋体" w:hAnsi="宋体"/>
          <w:sz w:val="24"/>
        </w:rPr>
        <w:t>时间</w:t>
      </w:r>
    </w:p>
    <w:tbl>
      <w:tblPr>
        <w:tblStyle w:val="2"/>
        <w:tblW w:w="95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0"/>
        <w:gridCol w:w="1726"/>
        <w:gridCol w:w="1575"/>
        <w:gridCol w:w="975"/>
        <w:gridCol w:w="1388"/>
        <w:gridCol w:w="18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szCs w:val="21"/>
                <w:lang w:val="en-US" w:eastAsia="zh-CN"/>
              </w:rPr>
            </w:pPr>
            <w:r>
              <w:rPr>
                <w:rFonts w:hint="eastAsia" w:ascii="宋体" w:hAnsi="宋体"/>
                <w:szCs w:val="21"/>
                <w:lang w:val="en-US" w:eastAsia="zh-CN"/>
              </w:rPr>
              <w:t>品种</w:t>
            </w:r>
          </w:p>
        </w:tc>
        <w:tc>
          <w:tcPr>
            <w:tcW w:w="172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szCs w:val="21"/>
                <w:lang w:eastAsia="zh-CN"/>
              </w:rPr>
            </w:pPr>
            <w:r>
              <w:rPr>
                <w:rFonts w:hint="eastAsia" w:ascii="宋体" w:hAnsi="宋体"/>
                <w:szCs w:val="21"/>
                <w:lang w:val="en-US" w:eastAsia="zh-CN"/>
              </w:rPr>
              <w:t>仓号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宋体" w:hAnsi="宋体" w:eastAsia="宋体"/>
                <w:szCs w:val="21"/>
                <w:lang w:val="en-US" w:eastAsia="zh-CN"/>
              </w:rPr>
            </w:pPr>
            <w:r>
              <w:rPr>
                <w:rFonts w:hint="eastAsia" w:ascii="宋体" w:hAnsi="宋体"/>
                <w:szCs w:val="21"/>
              </w:rPr>
              <w:t>数 量</w:t>
            </w:r>
            <w:r>
              <w:rPr>
                <w:rFonts w:hint="eastAsia" w:ascii="宋体" w:hAnsi="宋体"/>
                <w:szCs w:val="21"/>
                <w:lang w:eastAsia="zh-CN"/>
              </w:rPr>
              <w:t>（</w:t>
            </w:r>
            <w:r>
              <w:rPr>
                <w:rFonts w:hint="eastAsia" w:ascii="宋体" w:hAnsi="宋体"/>
                <w:szCs w:val="21"/>
                <w:lang w:val="en-US" w:eastAsia="zh-CN"/>
              </w:rPr>
              <w:t>公斤）</w:t>
            </w:r>
          </w:p>
        </w:tc>
        <w:tc>
          <w:tcPr>
            <w:tcW w:w="9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hAnsi="宋体"/>
                <w:szCs w:val="21"/>
              </w:rPr>
            </w:pPr>
            <w:r>
              <w:rPr>
                <w:rFonts w:hint="eastAsia" w:ascii="宋体" w:hAnsi="宋体"/>
                <w:szCs w:val="21"/>
              </w:rPr>
              <w:t>单价</w:t>
            </w:r>
          </w:p>
        </w:tc>
        <w:tc>
          <w:tcPr>
            <w:tcW w:w="138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hAnsi="宋体"/>
                <w:szCs w:val="21"/>
              </w:rPr>
            </w:pPr>
            <w:r>
              <w:rPr>
                <w:rFonts w:hint="eastAsia" w:ascii="宋体" w:hAnsi="宋体"/>
                <w:szCs w:val="21"/>
              </w:rPr>
              <w:t>总 金 额</w:t>
            </w:r>
          </w:p>
        </w:tc>
        <w:tc>
          <w:tcPr>
            <w:tcW w:w="185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rPr>
            </w:pPr>
            <w:r>
              <w:rPr>
                <w:rFonts w:hint="eastAsia" w:ascii="宋体" w:hAnsi="宋体"/>
                <w:szCs w:val="21"/>
                <w:lang w:val="en-US" w:eastAsia="zh-CN"/>
              </w:rPr>
              <w:t>提</w:t>
            </w:r>
            <w:r>
              <w:rPr>
                <w:rFonts w:hint="eastAsia" w:ascii="宋体" w:hAnsi="宋体"/>
                <w:szCs w:val="21"/>
              </w:rPr>
              <w:t>货</w:t>
            </w:r>
            <w:r>
              <w:rPr>
                <w:rFonts w:hint="eastAsia" w:ascii="宋体" w:hAnsi="宋体"/>
                <w:szCs w:val="21"/>
                <w:lang w:val="en-US" w:eastAsia="zh-CN"/>
              </w:rPr>
              <w:t>截止日期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Times New Roman"/>
                <w:kern w:val="2"/>
                <w:sz w:val="21"/>
                <w:szCs w:val="21"/>
                <w:lang w:val="en-US" w:eastAsia="zh-CN" w:bidi="ar-SA"/>
              </w:rPr>
            </w:pPr>
            <w:r>
              <w:rPr>
                <w:rFonts w:hint="eastAsia" w:ascii="宋体" w:hAnsi="宋体"/>
                <w:szCs w:val="21"/>
                <w:lang w:val="en-US" w:eastAsia="zh-CN"/>
              </w:rPr>
              <w:t>2025饲料晚籼稻谷</w:t>
            </w:r>
          </w:p>
        </w:tc>
        <w:tc>
          <w:tcPr>
            <w:tcW w:w="172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r>
              <w:rPr>
                <w:rFonts w:hint="eastAsia" w:ascii="宋体" w:hAnsi="宋体"/>
                <w:szCs w:val="21"/>
                <w:lang w:val="en-US" w:eastAsia="zh-CN"/>
              </w:rPr>
              <w:t>中心粮库0P23</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9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38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852" w:type="dxa"/>
            <w:vMerge w:val="restart"/>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宋体" w:hAnsi="宋体" w:eastAsia="宋体"/>
                <w:szCs w:val="21"/>
                <w:lang w:val="en-US" w:eastAsia="zh-CN"/>
              </w:rPr>
            </w:pPr>
            <w:r>
              <w:rPr>
                <w:rFonts w:hint="eastAsia" w:ascii="宋体" w:hAnsi="宋体"/>
                <w:szCs w:val="21"/>
                <w:lang w:val="en-US" w:eastAsia="zh-CN"/>
              </w:rPr>
              <w:t>2025年12月5日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210" w:firstLineChars="100"/>
              <w:jc w:val="center"/>
              <w:textAlignment w:val="auto"/>
              <w:rPr>
                <w:rFonts w:hint="eastAsia" w:asciiTheme="majorEastAsia" w:hAnsiTheme="majorEastAsia" w:eastAsiaTheme="majorEastAsia"/>
                <w:szCs w:val="21"/>
                <w:lang w:val="en-US" w:eastAsia="zh-CN"/>
              </w:rPr>
            </w:pPr>
            <w:r>
              <w:rPr>
                <w:rFonts w:hint="eastAsia" w:asciiTheme="majorEastAsia" w:hAnsiTheme="majorEastAsia" w:eastAsiaTheme="majorEastAsia"/>
                <w:szCs w:val="21"/>
                <w:lang w:val="en-US" w:eastAsia="zh-CN"/>
              </w:rPr>
              <w:t>合计</w:t>
            </w:r>
          </w:p>
        </w:tc>
        <w:tc>
          <w:tcPr>
            <w:tcW w:w="172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heme="majorEastAsia" w:hAnsiTheme="majorEastAsia" w:eastAsiaTheme="majorEastAsia"/>
                <w:szCs w:val="21"/>
              </w:rPr>
            </w:pP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9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c>
          <w:tcPr>
            <w:tcW w:w="138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852"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526" w:type="dxa"/>
            <w:gridSpan w:val="6"/>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360" w:lineRule="exact"/>
              <w:textAlignment w:val="auto"/>
              <w:rPr>
                <w:rFonts w:hint="eastAsia" w:ascii="宋体" w:hAnsi="宋体"/>
                <w:szCs w:val="21"/>
              </w:rPr>
            </w:pPr>
            <w:r>
              <w:rPr>
                <w:rFonts w:hint="eastAsia" w:ascii="宋体" w:hAnsi="宋体"/>
                <w:szCs w:val="21"/>
              </w:rPr>
              <w:t xml:space="preserve">合计人民币金额：。  </w:t>
            </w:r>
            <w:r>
              <w:rPr>
                <w:rFonts w:hint="eastAsia" w:ascii="宋体" w:hAnsi="宋体"/>
                <w:szCs w:val="21"/>
                <w:lang w:val="en-US" w:eastAsia="zh-CN"/>
              </w:rPr>
              <w:t xml:space="preserve">                                                     </w:t>
            </w:r>
            <w:r>
              <w:rPr>
                <w:rFonts w:hint="eastAsia" w:ascii="宋体" w:hAnsi="宋体"/>
                <w:szCs w:val="21"/>
              </w:rPr>
              <w:t>￥：</w:t>
            </w:r>
          </w:p>
        </w:tc>
      </w:tr>
    </w:tbl>
    <w:p>
      <w:pPr>
        <w:spacing w:line="460" w:lineRule="exact"/>
        <w:ind w:firstLine="480" w:firstLineChars="200"/>
        <w:rPr>
          <w:rFonts w:ascii="宋体" w:hAnsi="宋体"/>
          <w:b/>
          <w:sz w:val="28"/>
          <w:szCs w:val="28"/>
        </w:rPr>
      </w:pPr>
      <w:r>
        <w:rPr>
          <w:rFonts w:hint="eastAsia" w:ascii="宋体" w:hAnsi="宋体"/>
          <w:sz w:val="24"/>
        </w:rPr>
        <w:t>二、质量标准、用途：以样品为准，供方提供化验依据。用途：</w:t>
      </w:r>
      <w:r>
        <w:rPr>
          <w:rFonts w:hint="eastAsia" w:ascii="宋体" w:hAnsi="宋体"/>
          <w:b/>
          <w:sz w:val="28"/>
          <w:szCs w:val="28"/>
        </w:rPr>
        <w:t>粉碎</w:t>
      </w:r>
      <w:r>
        <w:rPr>
          <w:rFonts w:hint="eastAsia" w:ascii="宋体" w:hAnsi="宋体"/>
          <w:b/>
          <w:sz w:val="28"/>
          <w:szCs w:val="28"/>
          <w:lang w:val="en-US" w:eastAsia="zh-CN"/>
        </w:rPr>
        <w:t>或混合</w:t>
      </w:r>
      <w:r>
        <w:rPr>
          <w:rFonts w:hint="eastAsia" w:ascii="宋体" w:hAnsi="宋体"/>
          <w:b/>
          <w:sz w:val="28"/>
          <w:szCs w:val="28"/>
        </w:rPr>
        <w:t>后饲料用粮、工业用粮。</w:t>
      </w:r>
    </w:p>
    <w:p>
      <w:pPr>
        <w:spacing w:line="460" w:lineRule="exact"/>
        <w:ind w:firstLine="480" w:firstLineChars="200"/>
        <w:rPr>
          <w:rFonts w:ascii="宋体" w:hAnsi="宋体"/>
          <w:sz w:val="24"/>
        </w:rPr>
      </w:pPr>
      <w:r>
        <w:rPr>
          <w:rFonts w:hint="eastAsia" w:ascii="宋体" w:hAnsi="宋体"/>
          <w:sz w:val="24"/>
        </w:rPr>
        <w:t>三、验收办法及时间、地点：由需方派员到供方仓库验收。</w:t>
      </w:r>
    </w:p>
    <w:p>
      <w:pPr>
        <w:widowControl/>
        <w:spacing w:line="460" w:lineRule="exact"/>
        <w:ind w:firstLine="480" w:firstLineChars="200"/>
        <w:jc w:val="left"/>
        <w:rPr>
          <w:rFonts w:hint="eastAsia" w:ascii="宋体" w:hAnsi="宋体"/>
          <w:sz w:val="24"/>
        </w:rPr>
      </w:pPr>
      <w:r>
        <w:rPr>
          <w:rFonts w:hint="eastAsia" w:ascii="宋体" w:hAnsi="宋体"/>
          <w:sz w:val="24"/>
        </w:rPr>
        <w:t>四、交（提）货地点</w:t>
      </w:r>
      <w:r>
        <w:rPr>
          <w:rFonts w:hint="eastAsia" w:ascii="宋体" w:hAnsi="宋体"/>
          <w:sz w:val="24"/>
          <w:lang w:eastAsia="zh-CN"/>
        </w:rPr>
        <w:t>、</w:t>
      </w:r>
      <w:r>
        <w:rPr>
          <w:rFonts w:hint="eastAsia" w:ascii="宋体" w:hAnsi="宋体"/>
          <w:sz w:val="24"/>
          <w:lang w:val="en-US" w:eastAsia="zh-CN"/>
        </w:rPr>
        <w:t>方式及</w:t>
      </w:r>
      <w:r>
        <w:rPr>
          <w:rFonts w:hint="eastAsia" w:ascii="宋体" w:hAnsi="宋体"/>
          <w:sz w:val="24"/>
        </w:rPr>
        <w:t>费用负担：供方仓库，</w:t>
      </w:r>
      <w:r>
        <w:rPr>
          <w:rFonts w:hint="eastAsia" w:ascii="宋体" w:hAnsi="宋体"/>
          <w:sz w:val="24"/>
          <w:lang w:val="en-US" w:eastAsia="zh-CN"/>
        </w:rPr>
        <w:t>提货过程需按照供方的超标粮处置办法执行，</w:t>
      </w:r>
      <w:r>
        <w:rPr>
          <w:rFonts w:hint="eastAsia" w:ascii="宋体" w:hAnsi="宋体"/>
          <w:sz w:val="24"/>
        </w:rPr>
        <w:t>免收车前费用，运费由需方承担。</w:t>
      </w:r>
    </w:p>
    <w:p>
      <w:pPr>
        <w:spacing w:line="460" w:lineRule="exact"/>
        <w:ind w:firstLine="480" w:firstLineChars="200"/>
        <w:rPr>
          <w:rFonts w:hint="eastAsia" w:ascii="宋体" w:hAnsi="宋体"/>
          <w:sz w:val="24"/>
        </w:rPr>
      </w:pPr>
      <w:r>
        <w:rPr>
          <w:rFonts w:hint="eastAsia" w:ascii="宋体" w:hAnsi="宋体"/>
          <w:sz w:val="24"/>
        </w:rPr>
        <w:t>五、数量结算方式：（1）原粮交割，数量以网上公布的标的物详情为准，根据《浙江省粮食和物资储备局等四部门关于严格执行粮食质量国家标准有关工作的通知》（浙粮〔2024〕40号）文件内容,我省政策性粮食按照实际粮食质量状况依质论价，出库数量以发货粮库电子地磅过秤为准</w:t>
      </w:r>
      <w:r>
        <w:rPr>
          <w:rFonts w:hint="eastAsia" w:ascii="宋体" w:hAnsi="宋体"/>
          <w:sz w:val="24"/>
          <w:lang w:eastAsia="zh-CN"/>
        </w:rPr>
        <w:t>（</w:t>
      </w:r>
      <w:r>
        <w:rPr>
          <w:rFonts w:hint="eastAsia" w:ascii="宋体" w:hAnsi="宋体"/>
          <w:sz w:val="24"/>
          <w:lang w:val="en-US" w:eastAsia="zh-CN"/>
        </w:rPr>
        <w:t>2）</w:t>
      </w:r>
      <w:r>
        <w:rPr>
          <w:rFonts w:hint="eastAsia" w:ascii="宋体" w:hAnsi="宋体"/>
          <w:sz w:val="24"/>
        </w:rPr>
        <w:t>散装出库，委托方向竞得方交割数量达到标段数量后，标段所在仓房（货位）仍有溢余粮食的，竞得方必须购买溢余粮食（若同一仓房（货位）分多个标段，剩余部分由最后提货（按车次）的竞得方购买），竞得方按[（交割数量-标段数量）×竞得价格]向委托方另行支付货款（若竞得方竞得同一仓号（货位）多个标段，以所有标段竞得平均价格结算），关于溢余粮食提货，若当天来不及支付货款的，在溢余粮食货款不超过该竞得货位履约保证金的前提下允许提货，并要求在一个工作日内将货款付清，否则按照违约处理；若标段所在仓房（货位）有粮食损耗的，委托方须按[（标段数量-交割数量）×竞得价格]向竞得方退还货款（若竞得方竞得同一仓号（货位）多个标段，以所有标段竞得平均价格结算）。</w:t>
      </w:r>
    </w:p>
    <w:p>
      <w:pPr>
        <w:spacing w:line="460" w:lineRule="exact"/>
        <w:ind w:firstLine="480" w:firstLineChars="200"/>
        <w:rPr>
          <w:rFonts w:hint="eastAsia" w:ascii="宋体" w:hAnsi="宋体"/>
          <w:color w:val="auto"/>
          <w:sz w:val="24"/>
        </w:rPr>
      </w:pPr>
      <w:r>
        <w:rPr>
          <w:rFonts w:hint="eastAsia" w:ascii="宋体" w:hAnsi="宋体"/>
          <w:color w:val="auto"/>
          <w:sz w:val="24"/>
        </w:rPr>
        <w:t>六、结算方式及期限：（1）双方必须在中标后</w:t>
      </w:r>
      <w:r>
        <w:rPr>
          <w:rFonts w:hint="eastAsia" w:ascii="宋体" w:hAnsi="宋体"/>
          <w:color w:val="auto"/>
          <w:sz w:val="24"/>
          <w:lang w:val="en-US" w:eastAsia="zh-CN"/>
        </w:rPr>
        <w:t>3</w:t>
      </w:r>
      <w:r>
        <w:rPr>
          <w:rFonts w:hint="eastAsia" w:ascii="宋体" w:hAnsi="宋体"/>
          <w:color w:val="auto"/>
          <w:sz w:val="24"/>
        </w:rPr>
        <w:t>个工作日内订立合同。（2）先款后货，</w:t>
      </w:r>
      <w:r>
        <w:rPr>
          <w:rFonts w:hint="eastAsia" w:ascii="宋体" w:hAnsi="宋体"/>
          <w:color w:val="auto"/>
          <w:sz w:val="24"/>
          <w:lang w:val="en-US" w:eastAsia="zh-CN"/>
        </w:rPr>
        <w:t>全部</w:t>
      </w:r>
      <w:r>
        <w:rPr>
          <w:rFonts w:hint="eastAsia" w:ascii="宋体" w:hAnsi="宋体"/>
          <w:color w:val="auto"/>
          <w:sz w:val="24"/>
        </w:rPr>
        <w:t>货款必须在</w:t>
      </w:r>
      <w:r>
        <w:rPr>
          <w:rFonts w:hint="eastAsia" w:ascii="宋体" w:hAnsi="宋体"/>
          <w:color w:val="auto"/>
          <w:sz w:val="24"/>
          <w:lang w:val="en-US" w:eastAsia="zh-CN"/>
        </w:rPr>
        <w:t>2025年12</w:t>
      </w:r>
      <w:r>
        <w:rPr>
          <w:rFonts w:hint="eastAsia" w:ascii="宋体" w:hAnsi="宋体"/>
          <w:color w:val="auto"/>
          <w:sz w:val="24"/>
        </w:rPr>
        <w:t>月</w:t>
      </w:r>
      <w:r>
        <w:rPr>
          <w:rFonts w:hint="eastAsia" w:ascii="宋体" w:hAnsi="宋体"/>
          <w:color w:val="auto"/>
          <w:sz w:val="24"/>
          <w:lang w:val="en-US" w:eastAsia="zh-CN"/>
        </w:rPr>
        <w:t>5</w:t>
      </w:r>
      <w:r>
        <w:rPr>
          <w:rFonts w:hint="eastAsia" w:ascii="宋体" w:hAnsi="宋体"/>
          <w:color w:val="auto"/>
          <w:sz w:val="24"/>
        </w:rPr>
        <w:t>日前付清。（3）逾期不付清货款视作违约，除没收该标的的全部履约保证金外，扣除该标的全部货款的8%作为违约金。</w:t>
      </w:r>
    </w:p>
    <w:p>
      <w:pPr>
        <w:spacing w:line="480" w:lineRule="exact"/>
        <w:ind w:firstLine="480" w:firstLineChars="200"/>
        <w:rPr>
          <w:rFonts w:hint="eastAsia" w:ascii="宋体" w:hAnsi="宋体"/>
          <w:b w:val="0"/>
          <w:bCs/>
          <w:color w:val="FF0000"/>
          <w:sz w:val="24"/>
        </w:rPr>
      </w:pPr>
      <w:r>
        <w:rPr>
          <w:rFonts w:hint="eastAsia" w:ascii="宋体" w:hAnsi="宋体"/>
          <w:color w:val="auto"/>
          <w:sz w:val="24"/>
          <w:lang w:val="en-US" w:eastAsia="zh-CN"/>
        </w:rPr>
        <w:t>七</w:t>
      </w:r>
      <w:r>
        <w:rPr>
          <w:rFonts w:hint="eastAsia" w:ascii="宋体" w:hAnsi="宋体"/>
          <w:color w:val="auto"/>
          <w:sz w:val="24"/>
        </w:rPr>
        <w:t>、违约责任：202</w:t>
      </w:r>
      <w:r>
        <w:rPr>
          <w:rFonts w:hint="eastAsia" w:ascii="宋体" w:hAnsi="宋体"/>
          <w:color w:val="auto"/>
          <w:sz w:val="24"/>
          <w:lang w:val="en-US" w:eastAsia="zh-CN"/>
        </w:rPr>
        <w:t>5</w:t>
      </w:r>
      <w:r>
        <w:rPr>
          <w:rFonts w:hint="eastAsia" w:ascii="宋体" w:hAnsi="宋体"/>
          <w:color w:val="auto"/>
          <w:sz w:val="24"/>
        </w:rPr>
        <w:t>年</w:t>
      </w:r>
      <w:r>
        <w:rPr>
          <w:rFonts w:hint="eastAsia" w:ascii="宋体" w:hAnsi="宋体"/>
          <w:color w:val="auto"/>
          <w:sz w:val="24"/>
          <w:lang w:val="en-US" w:eastAsia="zh-CN"/>
        </w:rPr>
        <w:t>12月5</w:t>
      </w:r>
      <w:bookmarkStart w:id="0" w:name="_GoBack"/>
      <w:bookmarkEnd w:id="0"/>
      <w:r>
        <w:rPr>
          <w:rFonts w:hint="eastAsia" w:ascii="宋体" w:hAnsi="宋体"/>
          <w:color w:val="auto"/>
          <w:sz w:val="24"/>
        </w:rPr>
        <w:t>日前提清，节假日无休。若因竞得方原因逾期未提视作违约，未提货物按3.00元/吨·日收取仓房使用费，逾期</w:t>
      </w:r>
      <w:r>
        <w:rPr>
          <w:rFonts w:hint="eastAsia" w:ascii="宋体" w:hAnsi="宋体"/>
          <w:color w:val="auto"/>
          <w:sz w:val="24"/>
          <w:lang w:val="en-US" w:eastAsia="zh-CN"/>
        </w:rPr>
        <w:t>5</w:t>
      </w:r>
      <w:r>
        <w:rPr>
          <w:rFonts w:hint="eastAsia" w:ascii="宋体" w:hAnsi="宋体"/>
          <w:color w:val="auto"/>
          <w:sz w:val="24"/>
        </w:rPr>
        <w:t>日仍未提清的，委托方有权单方终止买卖关系，并对货物</w:t>
      </w:r>
      <w:r>
        <w:rPr>
          <w:rFonts w:hint="eastAsia" w:ascii="宋体" w:hAnsi="宋体"/>
          <w:sz w:val="24"/>
        </w:rPr>
        <w:t>享有处置权。由于逾期提货产生的相关质量问题由竞得方自负。</w:t>
      </w:r>
    </w:p>
    <w:p>
      <w:pPr>
        <w:spacing w:line="480" w:lineRule="exact"/>
        <w:ind w:firstLine="480" w:firstLineChars="200"/>
        <w:rPr>
          <w:rFonts w:hint="default" w:ascii="宋体" w:hAnsi="宋体" w:eastAsia="宋体"/>
          <w:b w:val="0"/>
          <w:bCs w:val="0"/>
          <w:color w:val="FF0000"/>
          <w:sz w:val="24"/>
          <w:lang w:val="en-US" w:eastAsia="zh-CN"/>
        </w:rPr>
      </w:pPr>
      <w:r>
        <w:rPr>
          <w:rFonts w:hint="eastAsia" w:ascii="宋体" w:hAnsi="宋体"/>
          <w:sz w:val="24"/>
          <w:lang w:val="en-US" w:eastAsia="zh-CN"/>
        </w:rPr>
        <w:t>八</w:t>
      </w:r>
      <w:r>
        <w:rPr>
          <w:rFonts w:hint="eastAsia" w:ascii="宋体" w:hAnsi="宋体"/>
          <w:sz w:val="24"/>
        </w:rPr>
        <w:t>、其他约定事项：</w:t>
      </w:r>
      <w:r>
        <w:rPr>
          <w:rFonts w:hint="eastAsia" w:ascii="宋体" w:hAnsi="宋体"/>
          <w:sz w:val="24"/>
          <w:lang w:eastAsia="zh-CN"/>
        </w:rPr>
        <w:t>（</w:t>
      </w:r>
      <w:r>
        <w:rPr>
          <w:rFonts w:hint="eastAsia" w:ascii="宋体" w:hAnsi="宋体"/>
          <w:color w:val="auto"/>
          <w:sz w:val="24"/>
          <w:lang w:val="en-US" w:eastAsia="zh-CN"/>
        </w:rPr>
        <w:t>1</w:t>
      </w:r>
      <w:r>
        <w:rPr>
          <w:rFonts w:hint="eastAsia" w:ascii="宋体" w:hAnsi="宋体"/>
          <w:b w:val="0"/>
          <w:bCs w:val="0"/>
          <w:color w:val="auto"/>
          <w:sz w:val="24"/>
          <w:lang w:val="en-US" w:eastAsia="zh-CN"/>
        </w:rPr>
        <w:t>）</w:t>
      </w:r>
      <w:r>
        <w:rPr>
          <w:rFonts w:hint="eastAsia" w:ascii="宋体" w:hAnsi="宋体"/>
          <w:b w:val="0"/>
          <w:bCs w:val="0"/>
          <w:color w:val="auto"/>
          <w:sz w:val="24"/>
        </w:rPr>
        <w:t>本批次</w:t>
      </w:r>
      <w:r>
        <w:rPr>
          <w:rFonts w:hint="eastAsia" w:ascii="宋体" w:hAnsi="宋体"/>
          <w:b w:val="0"/>
          <w:bCs w:val="0"/>
          <w:color w:val="auto"/>
          <w:sz w:val="24"/>
          <w:lang w:val="en-US" w:eastAsia="zh-CN"/>
        </w:rPr>
        <w:t>粮食</w:t>
      </w:r>
      <w:r>
        <w:rPr>
          <w:rFonts w:hint="eastAsia" w:ascii="宋体" w:hAnsi="宋体"/>
          <w:b w:val="0"/>
          <w:bCs w:val="0"/>
          <w:color w:val="auto"/>
          <w:sz w:val="24"/>
        </w:rPr>
        <w:t>卫生指标超标，仅限于浙江省内饲料加工企业或工业用粮企业参与，竞得方只能将此批粮食粉碎</w:t>
      </w:r>
      <w:r>
        <w:rPr>
          <w:rFonts w:hint="eastAsia" w:ascii="宋体" w:hAnsi="宋体"/>
          <w:b w:val="0"/>
          <w:bCs w:val="0"/>
          <w:color w:val="auto"/>
          <w:sz w:val="24"/>
          <w:lang w:val="en-US" w:eastAsia="zh-CN"/>
        </w:rPr>
        <w:t>或混合</w:t>
      </w:r>
      <w:r>
        <w:rPr>
          <w:rFonts w:hint="eastAsia" w:ascii="宋体" w:hAnsi="宋体"/>
          <w:b w:val="0"/>
          <w:bCs w:val="0"/>
          <w:color w:val="auto"/>
          <w:sz w:val="24"/>
        </w:rPr>
        <w:t>后用作饲料或工业用粮，不能用作口粮，不得将标的转让他人和其他单位，竞得后需签订成交合同和承诺书</w:t>
      </w:r>
      <w:r>
        <w:rPr>
          <w:rFonts w:hint="eastAsia" w:ascii="宋体" w:hAnsi="宋体"/>
          <w:b w:val="0"/>
          <w:bCs w:val="0"/>
          <w:color w:val="auto"/>
          <w:sz w:val="24"/>
          <w:lang w:eastAsia="zh-CN"/>
        </w:rPr>
        <w:t>。（</w:t>
      </w:r>
      <w:r>
        <w:rPr>
          <w:rFonts w:hint="eastAsia" w:ascii="宋体" w:hAnsi="宋体"/>
          <w:b w:val="0"/>
          <w:bCs w:val="0"/>
          <w:color w:val="auto"/>
          <w:sz w:val="24"/>
          <w:lang w:val="en-US" w:eastAsia="zh-CN"/>
        </w:rPr>
        <w:t>2）本次交易由供方</w:t>
      </w:r>
      <w:r>
        <w:rPr>
          <w:rFonts w:hint="eastAsia" w:ascii="宋体" w:hAnsi="宋体"/>
          <w:b w:val="0"/>
          <w:bCs w:val="0"/>
          <w:color w:val="auto"/>
          <w:sz w:val="24"/>
        </w:rPr>
        <w:t>提供正式销货发票，有关印花税等税款按国家有关规定由</w:t>
      </w:r>
      <w:r>
        <w:rPr>
          <w:rFonts w:hint="eastAsia" w:ascii="宋体" w:hAnsi="宋体"/>
          <w:b w:val="0"/>
          <w:bCs w:val="0"/>
          <w:color w:val="auto"/>
          <w:sz w:val="24"/>
          <w:lang w:val="en-US" w:eastAsia="zh-CN"/>
        </w:rPr>
        <w:t>竞得方</w:t>
      </w:r>
      <w:r>
        <w:rPr>
          <w:rFonts w:hint="eastAsia" w:ascii="宋体" w:hAnsi="宋体"/>
          <w:b w:val="0"/>
          <w:bCs w:val="0"/>
          <w:color w:val="auto"/>
          <w:sz w:val="24"/>
        </w:rPr>
        <w:t>自行缴纳。</w:t>
      </w:r>
      <w:r>
        <w:rPr>
          <w:rFonts w:hint="eastAsia" w:ascii="宋体" w:hAnsi="宋体"/>
          <w:b w:val="0"/>
          <w:bCs w:val="0"/>
          <w:color w:val="auto"/>
          <w:sz w:val="24"/>
          <w:lang w:eastAsia="zh-CN"/>
        </w:rPr>
        <w:t>（</w:t>
      </w:r>
      <w:r>
        <w:rPr>
          <w:rFonts w:hint="eastAsia" w:ascii="宋体" w:hAnsi="宋体"/>
          <w:b w:val="0"/>
          <w:bCs w:val="0"/>
          <w:color w:val="auto"/>
          <w:sz w:val="24"/>
          <w:lang w:val="en-US" w:eastAsia="zh-CN"/>
        </w:rPr>
        <w:t>3）</w:t>
      </w:r>
      <w:r>
        <w:rPr>
          <w:rFonts w:hint="eastAsia" w:ascii="宋体" w:hAnsi="宋体"/>
          <w:b w:val="0"/>
          <w:bCs w:val="0"/>
          <w:color w:val="auto"/>
          <w:sz w:val="24"/>
        </w:rPr>
        <w:t>本次交易需委托方接收到竞得单位所在地粮食监管部门对该批超标粮食加工完成的书面回复后，方可退回履约保证金。</w:t>
      </w:r>
    </w:p>
    <w:p>
      <w:pPr>
        <w:spacing w:line="460" w:lineRule="exact"/>
        <w:ind w:firstLine="480" w:firstLineChars="200"/>
        <w:rPr>
          <w:rFonts w:ascii="宋体" w:hAnsi="宋体"/>
          <w:b w:val="0"/>
          <w:bCs w:val="0"/>
          <w:sz w:val="24"/>
          <w:u w:val="single"/>
        </w:rPr>
      </w:pPr>
      <w:r>
        <w:rPr>
          <w:rFonts w:hint="eastAsia" w:ascii="宋体" w:hAnsi="宋体"/>
          <w:b w:val="0"/>
          <w:bCs w:val="0"/>
          <w:sz w:val="24"/>
          <w:lang w:val="en-US" w:eastAsia="zh-CN"/>
        </w:rPr>
        <w:t>九</w:t>
      </w:r>
      <w:r>
        <w:rPr>
          <w:rFonts w:hint="eastAsia" w:ascii="宋体" w:hAnsi="宋体"/>
          <w:b w:val="0"/>
          <w:bCs w:val="0"/>
          <w:sz w:val="24"/>
        </w:rPr>
        <w:t>、合同争议的解决方式：1、本合同在履行过程中发生争议，由双方当事人协商解决；2、协商不成的，向杭州市仲裁委员会申请仲裁或向人民法院起诉。</w:t>
      </w:r>
    </w:p>
    <w:p>
      <w:pPr>
        <w:spacing w:line="460" w:lineRule="exact"/>
        <w:ind w:firstLine="480" w:firstLineChars="200"/>
        <w:rPr>
          <w:rFonts w:ascii="宋体" w:hAnsi="宋体"/>
          <w:sz w:val="24"/>
        </w:rPr>
      </w:pPr>
      <w:r>
        <w:rPr>
          <w:rFonts w:hint="eastAsia" w:ascii="宋体" w:hAnsi="宋体"/>
          <w:b w:val="0"/>
          <w:bCs w:val="0"/>
          <w:sz w:val="24"/>
        </w:rPr>
        <w:t>十、本合同一式三份，供需双方各执一份，供方粮食行政管理部门留存一</w:t>
      </w:r>
      <w:r>
        <w:rPr>
          <w:rFonts w:hint="eastAsia" w:ascii="宋体" w:hAnsi="宋体"/>
          <w:sz w:val="24"/>
        </w:rPr>
        <w:t>份。本合同供需双方签字（盖章）后生效。</w:t>
      </w:r>
    </w:p>
    <w:tbl>
      <w:tblPr>
        <w:tblStyle w:val="2"/>
        <w:tblpPr w:leftFromText="180" w:rightFromText="180" w:vertAnchor="text" w:horzAnchor="page" w:tblpX="1680" w:tblpY="1030"/>
        <w:tblOverlap w:val="never"/>
        <w:tblW w:w="8745" w:type="dxa"/>
        <w:jc w:val="center"/>
        <w:tblLayout w:type="fixed"/>
        <w:tblCellMar>
          <w:top w:w="0" w:type="dxa"/>
          <w:left w:w="108" w:type="dxa"/>
          <w:bottom w:w="0" w:type="dxa"/>
          <w:right w:w="108" w:type="dxa"/>
        </w:tblCellMar>
      </w:tblPr>
      <w:tblGrid>
        <w:gridCol w:w="4386"/>
        <w:gridCol w:w="4359"/>
      </w:tblGrid>
      <w:tr>
        <w:tblPrEx>
          <w:tblCellMar>
            <w:top w:w="0" w:type="dxa"/>
            <w:left w:w="108" w:type="dxa"/>
            <w:bottom w:w="0" w:type="dxa"/>
            <w:right w:w="108" w:type="dxa"/>
          </w:tblCellMar>
        </w:tblPrEx>
        <w:trPr>
          <w:trHeight w:val="5340" w:hRule="atLeast"/>
          <w:jc w:val="center"/>
        </w:trPr>
        <w:tc>
          <w:tcPr>
            <w:tcW w:w="4386" w:type="dxa"/>
            <w:tcBorders>
              <w:top w:val="single" w:color="auto" w:sz="4" w:space="0"/>
              <w:left w:val="single" w:color="auto" w:sz="4" w:space="0"/>
              <w:bottom w:val="single" w:color="auto" w:sz="4" w:space="0"/>
              <w:right w:val="single" w:color="auto" w:sz="4" w:space="0"/>
            </w:tcBorders>
            <w:vAlign w:val="top"/>
          </w:tcPr>
          <w:p>
            <w:pPr>
              <w:spacing w:line="540" w:lineRule="exact"/>
              <w:jc w:val="center"/>
              <w:rPr>
                <w:rFonts w:ascii="宋体" w:hAnsi="宋体"/>
                <w:sz w:val="21"/>
                <w:szCs w:val="21"/>
              </w:rPr>
            </w:pPr>
            <w:r>
              <w:rPr>
                <w:rFonts w:hint="eastAsia" w:ascii="宋体" w:hAnsi="宋体"/>
                <w:sz w:val="21"/>
                <w:szCs w:val="21"/>
              </w:rPr>
              <w:t>供           方</w:t>
            </w:r>
          </w:p>
          <w:p>
            <w:pPr>
              <w:spacing w:line="540" w:lineRule="exact"/>
              <w:ind w:left="1200" w:hanging="1050" w:hangingChars="500"/>
              <w:rPr>
                <w:rFonts w:ascii="宋体" w:hAnsi="宋体"/>
                <w:sz w:val="21"/>
                <w:szCs w:val="21"/>
              </w:rPr>
            </w:pPr>
            <w:r>
              <w:rPr>
                <w:rFonts w:hint="eastAsia" w:ascii="宋体" w:hAnsi="宋体"/>
                <w:sz w:val="21"/>
                <w:szCs w:val="21"/>
              </w:rPr>
              <w:t>单位名称：杭州市富阳区粮食收储有限公司</w:t>
            </w:r>
          </w:p>
          <w:p>
            <w:pPr>
              <w:spacing w:line="540" w:lineRule="exact"/>
              <w:ind w:left="1200" w:hanging="1050" w:hangingChars="500"/>
              <w:rPr>
                <w:rFonts w:ascii="宋体" w:hAnsi="宋体"/>
                <w:sz w:val="21"/>
                <w:szCs w:val="21"/>
              </w:rPr>
            </w:pPr>
            <w:r>
              <w:rPr>
                <w:rFonts w:hint="eastAsia" w:ascii="宋体" w:hAnsi="宋体"/>
                <w:sz w:val="21"/>
                <w:szCs w:val="21"/>
              </w:rPr>
              <w:t>单位地址：富春街道杨清庙村牌楼217号</w:t>
            </w:r>
          </w:p>
          <w:p>
            <w:pPr>
              <w:spacing w:line="540" w:lineRule="exact"/>
              <w:rPr>
                <w:rFonts w:ascii="宋体" w:hAnsi="宋体"/>
                <w:sz w:val="21"/>
                <w:szCs w:val="21"/>
              </w:rPr>
            </w:pPr>
            <w:r>
              <w:rPr>
                <w:rFonts w:hint="eastAsia" w:ascii="宋体" w:hAnsi="宋体"/>
                <w:sz w:val="21"/>
                <w:szCs w:val="21"/>
              </w:rPr>
              <w:t>法定代表人：</w:t>
            </w:r>
          </w:p>
          <w:p>
            <w:pPr>
              <w:spacing w:line="540" w:lineRule="exact"/>
              <w:rPr>
                <w:rFonts w:ascii="宋体" w:hAnsi="宋体"/>
                <w:sz w:val="21"/>
                <w:szCs w:val="21"/>
              </w:rPr>
            </w:pPr>
            <w:r>
              <w:rPr>
                <w:rFonts w:hint="eastAsia" w:ascii="宋体" w:hAnsi="宋体"/>
                <w:sz w:val="21"/>
                <w:szCs w:val="21"/>
              </w:rPr>
              <w:t>委托代理人：</w:t>
            </w:r>
          </w:p>
          <w:p>
            <w:pPr>
              <w:spacing w:line="540" w:lineRule="exact"/>
              <w:ind w:left="1200" w:hanging="1050" w:hangingChars="500"/>
              <w:rPr>
                <w:rFonts w:ascii="宋体" w:hAnsi="宋体"/>
                <w:sz w:val="21"/>
                <w:szCs w:val="21"/>
              </w:rPr>
            </w:pPr>
            <w:r>
              <w:rPr>
                <w:rFonts w:hint="eastAsia" w:ascii="宋体" w:hAnsi="宋体"/>
                <w:sz w:val="21"/>
                <w:szCs w:val="21"/>
              </w:rPr>
              <w:t>开户银行：中国农业发展银行杭州市富阳支行</w:t>
            </w:r>
          </w:p>
          <w:p>
            <w:pPr>
              <w:spacing w:line="540" w:lineRule="exact"/>
              <w:rPr>
                <w:rFonts w:ascii="宋体" w:hAnsi="宋体"/>
                <w:sz w:val="21"/>
                <w:szCs w:val="21"/>
              </w:rPr>
            </w:pPr>
            <w:r>
              <w:rPr>
                <w:rFonts w:hint="eastAsia" w:ascii="宋体" w:hAnsi="宋体"/>
                <w:sz w:val="21"/>
                <w:szCs w:val="21"/>
              </w:rPr>
              <w:t>帐    号：20333018300100000001511</w:t>
            </w:r>
          </w:p>
          <w:p>
            <w:pPr>
              <w:spacing w:line="540" w:lineRule="exact"/>
              <w:rPr>
                <w:rFonts w:ascii="宋体" w:hAnsi="宋体"/>
                <w:sz w:val="21"/>
                <w:szCs w:val="21"/>
              </w:rPr>
            </w:pPr>
            <w:r>
              <w:rPr>
                <w:rFonts w:hint="eastAsia" w:ascii="宋体" w:hAnsi="宋体"/>
                <w:sz w:val="21"/>
                <w:szCs w:val="21"/>
              </w:rPr>
              <w:t>邮政编码：311403</w:t>
            </w:r>
          </w:p>
          <w:p>
            <w:pPr>
              <w:spacing w:line="540" w:lineRule="exact"/>
              <w:rPr>
                <w:rFonts w:ascii="宋体" w:hAnsi="宋体"/>
                <w:sz w:val="24"/>
              </w:rPr>
            </w:pPr>
            <w:r>
              <w:rPr>
                <w:rFonts w:hint="eastAsia" w:ascii="宋体" w:hAnsi="宋体"/>
                <w:sz w:val="21"/>
                <w:szCs w:val="21"/>
              </w:rPr>
              <w:t>电    话：0571-63470356，63470351</w:t>
            </w:r>
          </w:p>
        </w:tc>
        <w:tc>
          <w:tcPr>
            <w:tcW w:w="4359" w:type="dxa"/>
            <w:tcBorders>
              <w:top w:val="single" w:color="auto" w:sz="4" w:space="0"/>
              <w:left w:val="single" w:color="auto" w:sz="4" w:space="0"/>
              <w:bottom w:val="single" w:color="auto" w:sz="4" w:space="0"/>
              <w:right w:val="single" w:color="auto" w:sz="4" w:space="0"/>
            </w:tcBorders>
            <w:vAlign w:val="top"/>
          </w:tcPr>
          <w:p>
            <w:pPr>
              <w:spacing w:line="540" w:lineRule="exact"/>
              <w:jc w:val="center"/>
              <w:rPr>
                <w:rFonts w:ascii="宋体" w:hAnsi="宋体"/>
                <w:sz w:val="21"/>
                <w:szCs w:val="21"/>
              </w:rPr>
            </w:pPr>
            <w:r>
              <w:rPr>
                <w:rFonts w:hint="eastAsia" w:ascii="宋体" w:hAnsi="宋体"/>
                <w:sz w:val="21"/>
                <w:szCs w:val="21"/>
              </w:rPr>
              <w:t>需           方</w:t>
            </w:r>
          </w:p>
          <w:p>
            <w:pPr>
              <w:spacing w:line="540" w:lineRule="exact"/>
              <w:rPr>
                <w:rFonts w:ascii="宋体" w:hAnsi="宋体"/>
                <w:sz w:val="21"/>
                <w:szCs w:val="21"/>
              </w:rPr>
            </w:pPr>
            <w:r>
              <w:rPr>
                <w:rFonts w:hint="eastAsia" w:ascii="宋体" w:hAnsi="宋体"/>
                <w:sz w:val="21"/>
                <w:szCs w:val="21"/>
              </w:rPr>
              <w:t>单位名称：</w:t>
            </w:r>
          </w:p>
          <w:p>
            <w:pPr>
              <w:spacing w:line="540" w:lineRule="exact"/>
              <w:rPr>
                <w:rFonts w:ascii="宋体" w:hAnsi="宋体"/>
                <w:sz w:val="21"/>
                <w:szCs w:val="21"/>
              </w:rPr>
            </w:pPr>
            <w:r>
              <w:rPr>
                <w:rFonts w:hint="eastAsia" w:ascii="宋体" w:hAnsi="宋体"/>
                <w:sz w:val="21"/>
                <w:szCs w:val="21"/>
              </w:rPr>
              <w:t>单位地址：</w:t>
            </w:r>
          </w:p>
          <w:p>
            <w:pPr>
              <w:spacing w:line="540" w:lineRule="exact"/>
              <w:rPr>
                <w:rFonts w:ascii="宋体" w:hAnsi="宋体"/>
                <w:sz w:val="21"/>
                <w:szCs w:val="21"/>
              </w:rPr>
            </w:pPr>
            <w:r>
              <w:rPr>
                <w:rFonts w:hint="eastAsia" w:ascii="宋体" w:hAnsi="宋体"/>
                <w:sz w:val="21"/>
                <w:szCs w:val="21"/>
              </w:rPr>
              <w:t>法定代表人：</w:t>
            </w:r>
          </w:p>
          <w:p>
            <w:pPr>
              <w:spacing w:line="540" w:lineRule="exact"/>
              <w:rPr>
                <w:rFonts w:ascii="宋体" w:hAnsi="宋体"/>
                <w:sz w:val="21"/>
                <w:szCs w:val="21"/>
              </w:rPr>
            </w:pPr>
            <w:r>
              <w:rPr>
                <w:rFonts w:hint="eastAsia" w:ascii="宋体" w:hAnsi="宋体"/>
                <w:sz w:val="21"/>
                <w:szCs w:val="21"/>
              </w:rPr>
              <w:t>委托代理人：</w:t>
            </w:r>
          </w:p>
          <w:p>
            <w:pPr>
              <w:spacing w:line="540" w:lineRule="exact"/>
              <w:rPr>
                <w:rFonts w:ascii="宋体" w:hAnsi="宋体"/>
                <w:sz w:val="21"/>
                <w:szCs w:val="21"/>
              </w:rPr>
            </w:pPr>
            <w:r>
              <w:rPr>
                <w:rFonts w:hint="eastAsia" w:ascii="宋体" w:hAnsi="宋体"/>
                <w:sz w:val="21"/>
                <w:szCs w:val="21"/>
              </w:rPr>
              <w:t>开户银行：</w:t>
            </w:r>
          </w:p>
          <w:p>
            <w:pPr>
              <w:spacing w:line="540" w:lineRule="exact"/>
              <w:rPr>
                <w:rFonts w:ascii="宋体" w:hAnsi="宋体"/>
                <w:sz w:val="21"/>
                <w:szCs w:val="21"/>
              </w:rPr>
            </w:pPr>
            <w:r>
              <w:rPr>
                <w:rFonts w:hint="eastAsia" w:ascii="宋体" w:hAnsi="宋体"/>
                <w:sz w:val="21"/>
                <w:szCs w:val="21"/>
              </w:rPr>
              <w:t>帐    号：</w:t>
            </w:r>
          </w:p>
          <w:p>
            <w:pPr>
              <w:spacing w:line="540" w:lineRule="exact"/>
              <w:rPr>
                <w:rFonts w:ascii="宋体" w:hAnsi="宋体"/>
                <w:sz w:val="21"/>
                <w:szCs w:val="21"/>
              </w:rPr>
            </w:pPr>
            <w:r>
              <w:rPr>
                <w:rFonts w:hint="eastAsia" w:ascii="宋体" w:hAnsi="宋体"/>
                <w:sz w:val="21"/>
                <w:szCs w:val="21"/>
              </w:rPr>
              <w:t>邮政编码：</w:t>
            </w:r>
          </w:p>
          <w:p>
            <w:pPr>
              <w:spacing w:line="540" w:lineRule="exact"/>
              <w:rPr>
                <w:rFonts w:ascii="宋体" w:hAnsi="宋体"/>
                <w:b/>
                <w:sz w:val="24"/>
              </w:rPr>
            </w:pPr>
            <w:r>
              <w:rPr>
                <w:rFonts w:hint="eastAsia" w:ascii="宋体" w:hAnsi="宋体"/>
                <w:sz w:val="21"/>
                <w:szCs w:val="21"/>
              </w:rPr>
              <w:t>电    话：</w:t>
            </w:r>
          </w:p>
        </w:tc>
      </w:tr>
    </w:tbl>
    <w:p>
      <w:pPr>
        <w:numPr>
          <w:ilvl w:val="0"/>
          <w:numId w:val="1"/>
        </w:numPr>
        <w:spacing w:line="460" w:lineRule="exact"/>
        <w:ind w:firstLine="480" w:firstLineChars="200"/>
        <w:rPr>
          <w:rFonts w:hint="eastAsia" w:ascii="宋体" w:hAnsi="宋体"/>
          <w:sz w:val="24"/>
          <w:lang w:eastAsia="zh-CN"/>
        </w:rPr>
      </w:pPr>
      <w:r>
        <w:rPr>
          <w:rFonts w:hint="eastAsia" w:ascii="宋体" w:hAnsi="宋体"/>
          <w:sz w:val="24"/>
        </w:rPr>
        <w:t>本合同有效期限：自合同签订之日起至合同履行完毕，或违约方履行违约责任后止</w:t>
      </w:r>
      <w:r>
        <w:rPr>
          <w:rFonts w:hint="eastAsia" w:ascii="宋体" w:hAnsi="宋体"/>
          <w:sz w:val="24"/>
          <w:lang w:eastAsia="zh-CN"/>
        </w:rPr>
        <w:t>。</w:t>
      </w:r>
    </w:p>
    <w:sectPr>
      <w:pgSz w:w="11906" w:h="16838"/>
      <w:pgMar w:top="1247" w:right="1800" w:bottom="124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54C8B7"/>
    <w:multiLevelType w:val="singleLevel"/>
    <w:tmpl w:val="2054C8B7"/>
    <w:lvl w:ilvl="0" w:tentative="0">
      <w:start w:val="1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mMzU2ZjZhNzAwN2FkZGQxMmU2ZTUwZmI3ZDAxYTkifQ=="/>
  </w:docVars>
  <w:rsids>
    <w:rsidRoot w:val="00000000"/>
    <w:rsid w:val="014963B5"/>
    <w:rsid w:val="019C0FDB"/>
    <w:rsid w:val="01D3579C"/>
    <w:rsid w:val="024929D4"/>
    <w:rsid w:val="033D740D"/>
    <w:rsid w:val="038E6481"/>
    <w:rsid w:val="089E6C88"/>
    <w:rsid w:val="0930606A"/>
    <w:rsid w:val="0B8752D4"/>
    <w:rsid w:val="0BA80640"/>
    <w:rsid w:val="0C396110"/>
    <w:rsid w:val="0C982A31"/>
    <w:rsid w:val="0DFF4D8D"/>
    <w:rsid w:val="0E841368"/>
    <w:rsid w:val="0F165C77"/>
    <w:rsid w:val="114F71EC"/>
    <w:rsid w:val="12E12A3B"/>
    <w:rsid w:val="12F00E73"/>
    <w:rsid w:val="14D161D5"/>
    <w:rsid w:val="16763675"/>
    <w:rsid w:val="16F84D78"/>
    <w:rsid w:val="172E515B"/>
    <w:rsid w:val="17335932"/>
    <w:rsid w:val="182306FE"/>
    <w:rsid w:val="19BF1555"/>
    <w:rsid w:val="1B460EB5"/>
    <w:rsid w:val="1B5B4841"/>
    <w:rsid w:val="1BAA1C91"/>
    <w:rsid w:val="1C6C51F3"/>
    <w:rsid w:val="1C8372C7"/>
    <w:rsid w:val="1C9C00D9"/>
    <w:rsid w:val="1D540406"/>
    <w:rsid w:val="1DC96243"/>
    <w:rsid w:val="1F2A1D6C"/>
    <w:rsid w:val="20EF702D"/>
    <w:rsid w:val="25AA288D"/>
    <w:rsid w:val="265B37FE"/>
    <w:rsid w:val="2910092E"/>
    <w:rsid w:val="29DC4A42"/>
    <w:rsid w:val="2A421F72"/>
    <w:rsid w:val="2B5B402E"/>
    <w:rsid w:val="2CC7409B"/>
    <w:rsid w:val="2DAF22D1"/>
    <w:rsid w:val="2DCA2A28"/>
    <w:rsid w:val="2F4F515F"/>
    <w:rsid w:val="2FF93997"/>
    <w:rsid w:val="326225B6"/>
    <w:rsid w:val="34864B0F"/>
    <w:rsid w:val="351729F7"/>
    <w:rsid w:val="35223D9A"/>
    <w:rsid w:val="35DA1639"/>
    <w:rsid w:val="38752ACC"/>
    <w:rsid w:val="38CB78E6"/>
    <w:rsid w:val="38FC104A"/>
    <w:rsid w:val="39BE4696"/>
    <w:rsid w:val="3AC1050D"/>
    <w:rsid w:val="3B881E46"/>
    <w:rsid w:val="3F56020F"/>
    <w:rsid w:val="3F7D1190"/>
    <w:rsid w:val="43721986"/>
    <w:rsid w:val="44C45FCB"/>
    <w:rsid w:val="451D481E"/>
    <w:rsid w:val="451F2FF7"/>
    <w:rsid w:val="463517B2"/>
    <w:rsid w:val="469966F7"/>
    <w:rsid w:val="47106967"/>
    <w:rsid w:val="485A0E03"/>
    <w:rsid w:val="4BE97DDD"/>
    <w:rsid w:val="4C8A39F1"/>
    <w:rsid w:val="4F071576"/>
    <w:rsid w:val="5182462C"/>
    <w:rsid w:val="54AC73D2"/>
    <w:rsid w:val="54E2568F"/>
    <w:rsid w:val="58FF0CA0"/>
    <w:rsid w:val="5CB247D4"/>
    <w:rsid w:val="5DC71DAC"/>
    <w:rsid w:val="5E04205E"/>
    <w:rsid w:val="60552C51"/>
    <w:rsid w:val="61C171D0"/>
    <w:rsid w:val="620E34BD"/>
    <w:rsid w:val="62E41AF5"/>
    <w:rsid w:val="64E019D8"/>
    <w:rsid w:val="65607A7B"/>
    <w:rsid w:val="67F73122"/>
    <w:rsid w:val="6C4011CF"/>
    <w:rsid w:val="6CEC0705"/>
    <w:rsid w:val="6D290F05"/>
    <w:rsid w:val="72CA1512"/>
    <w:rsid w:val="785555AB"/>
    <w:rsid w:val="793B4B5D"/>
    <w:rsid w:val="7A8C3E86"/>
    <w:rsid w:val="7F043E43"/>
    <w:rsid w:val="7F4E53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1387</Words>
  <Characters>1557</Characters>
  <Lines>0</Lines>
  <Paragraphs>0</Paragraphs>
  <TotalTime>2</TotalTime>
  <ScaleCrop>false</ScaleCrop>
  <LinksUpToDate>false</LinksUpToDate>
  <CharactersWithSpaces>1698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2021-07-19T04:14:00Z</dcterms:created>
  <dc:creator>Administrator</dc:creator>
  <cp:lastModifiedBy>xuxiaoqun /:sun</cp:lastModifiedBy>
  <cp:lastPrinted>2025-07-15T06:45:00Z</cp:lastPrinted>
  <dcterms:modified xsi:type="dcterms:W3CDTF">2025-11-11T06:09:29Z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4CB08384BB13422A9F55A2AE510C3ABC</vt:lpwstr>
  </property>
</Properties>
</file>