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FFCF45">
      <w:pPr>
        <w:shd w:val="clear"/>
        <w:bidi w:val="0"/>
        <w:rPr>
          <w:rFonts w:hint="eastAsia"/>
          <w:highlight w:val="none"/>
        </w:rPr>
      </w:pPr>
    </w:p>
    <w:p w14:paraId="5289CBF3">
      <w:pPr>
        <w:shd w:val="clear"/>
        <w:wordWrap w:val="0"/>
        <w:jc w:val="right"/>
        <w:rPr>
          <w:rFonts w:hint="default" w:ascii="宋体" w:hAnsi="宋体" w:eastAsia="宋体" w:cs="宋体"/>
          <w:b/>
          <w:sz w:val="24"/>
          <w:szCs w:val="24"/>
          <w:highlight w:val="none"/>
          <w:lang w:val="en-US" w:eastAsia="zh-CN"/>
        </w:rPr>
      </w:pPr>
      <w:r>
        <w:rPr>
          <w:rFonts w:hint="eastAsia" w:ascii="宋体" w:hAnsi="宋体" w:eastAsia="宋体" w:cs="宋体"/>
          <w:b w:val="0"/>
          <w:bCs/>
          <w:sz w:val="24"/>
          <w:szCs w:val="24"/>
          <w:highlight w:val="none"/>
          <w:lang w:val="en-US" w:eastAsia="zh-CN"/>
        </w:rPr>
        <w:t>合同编号：</w:t>
      </w:r>
      <w:r>
        <w:rPr>
          <w:rFonts w:hint="eastAsia" w:ascii="宋体" w:hAnsi="宋体" w:cs="宋体"/>
          <w:b w:val="0"/>
          <w:bCs/>
          <w:sz w:val="24"/>
          <w:szCs w:val="24"/>
          <w:highlight w:val="none"/>
          <w:u w:val="single"/>
          <w:lang w:val="en-US" w:eastAsia="zh-CN"/>
        </w:rPr>
        <w:t xml:space="preserve">YJLC-GX-  </w:t>
      </w:r>
    </w:p>
    <w:p w14:paraId="24720E5A">
      <w:pPr>
        <w:shd w:val="clear"/>
        <w:jc w:val="center"/>
        <w:rPr>
          <w:rFonts w:hint="eastAsia" w:ascii="黑体" w:eastAsia="黑体"/>
          <w:b/>
          <w:sz w:val="44"/>
          <w:szCs w:val="32"/>
          <w:highlight w:val="none"/>
        </w:rPr>
      </w:pPr>
      <w:r>
        <w:rPr>
          <w:rFonts w:hint="eastAsia" w:ascii="黑体" w:eastAsia="黑体"/>
          <w:b/>
          <w:sz w:val="44"/>
          <w:szCs w:val="32"/>
          <w:highlight w:val="none"/>
        </w:rPr>
        <w:t>竞价</w:t>
      </w:r>
      <w:r>
        <w:rPr>
          <w:rFonts w:hint="eastAsia" w:ascii="黑体" w:eastAsia="黑体"/>
          <w:b/>
          <w:sz w:val="44"/>
          <w:szCs w:val="32"/>
          <w:highlight w:val="none"/>
          <w:lang w:val="en-US" w:eastAsia="zh-CN"/>
        </w:rPr>
        <w:t>购销</w:t>
      </w:r>
      <w:r>
        <w:rPr>
          <w:rFonts w:hint="eastAsia" w:ascii="黑体" w:eastAsia="黑体"/>
          <w:b/>
          <w:sz w:val="44"/>
          <w:szCs w:val="32"/>
          <w:highlight w:val="none"/>
        </w:rPr>
        <w:t>合同</w:t>
      </w:r>
    </w:p>
    <w:p w14:paraId="4929CE82">
      <w:pPr>
        <w:shd w:val="clear"/>
        <w:wordWrap w:val="0"/>
        <w:spacing w:line="500" w:lineRule="exact"/>
        <w:rPr>
          <w:rFonts w:hint="eastAsia" w:ascii="宋体" w:hAnsi="宋体" w:eastAsia="宋体" w:cs="宋体"/>
          <w:bCs/>
          <w:sz w:val="24"/>
          <w:szCs w:val="24"/>
          <w:highlight w:val="none"/>
        </w:rPr>
      </w:pPr>
    </w:p>
    <w:p w14:paraId="4FD0D3C4">
      <w:pPr>
        <w:shd w:val="clear"/>
        <w:wordWrap w:val="0"/>
        <w:spacing w:line="500" w:lineRule="exact"/>
        <w:rPr>
          <w:rFonts w:hint="default" w:ascii="宋体" w:hAnsi="宋体" w:eastAsia="宋体" w:cs="宋体"/>
          <w:bCs/>
          <w:color w:val="auto"/>
          <w:sz w:val="24"/>
          <w:szCs w:val="24"/>
          <w:highlight w:val="none"/>
          <w:u w:val="single"/>
          <w:lang w:val="en-US" w:eastAsia="zh-CN"/>
        </w:rPr>
      </w:pPr>
      <w:r>
        <w:rPr>
          <w:rFonts w:hint="eastAsia" w:ascii="宋体" w:hAnsi="宋体" w:eastAsia="宋体" w:cs="宋体"/>
          <w:bCs/>
          <w:color w:val="auto"/>
          <w:sz w:val="24"/>
          <w:szCs w:val="24"/>
          <w:highlight w:val="none"/>
        </w:rPr>
        <w:t>甲方（卖方）：</w:t>
      </w:r>
      <w:r>
        <w:rPr>
          <w:rFonts w:hint="eastAsia" w:ascii="宋体" w:hAnsi="宋体" w:eastAsia="宋体" w:cs="宋体"/>
          <w:bCs/>
          <w:color w:val="auto"/>
          <w:sz w:val="24"/>
          <w:szCs w:val="24"/>
          <w:highlight w:val="none"/>
          <w:u w:val="single"/>
        </w:rPr>
        <w:t>永嘉县粮食收储有限公司</w:t>
      </w:r>
      <w:r>
        <w:rPr>
          <w:rFonts w:hint="eastAsia" w:ascii="宋体" w:hAnsi="宋体" w:cs="宋体"/>
          <w:bCs/>
          <w:color w:val="auto"/>
          <w:sz w:val="24"/>
          <w:szCs w:val="24"/>
          <w:highlight w:val="none"/>
          <w:u w:val="single"/>
          <w:lang w:val="en-US" w:eastAsia="zh-CN"/>
        </w:rPr>
        <w:t xml:space="preserve">      </w:t>
      </w:r>
    </w:p>
    <w:p w14:paraId="378FBD33">
      <w:pPr>
        <w:shd w:val="clear"/>
        <w:tabs>
          <w:tab w:val="left" w:pos="5745"/>
        </w:tabs>
        <w:wordWrap w:val="0"/>
        <w:spacing w:line="500" w:lineRule="exact"/>
        <w:rPr>
          <w:rFonts w:hint="default" w:ascii="宋体" w:hAnsi="宋体"/>
          <w:color w:val="auto"/>
          <w:sz w:val="24"/>
          <w:szCs w:val="24"/>
          <w:highlight w:val="none"/>
          <w:lang w:val="en-US"/>
        </w:rPr>
      </w:pPr>
      <w:r>
        <w:rPr>
          <w:rFonts w:hint="eastAsia" w:ascii="宋体" w:hAnsi="宋体" w:eastAsia="宋体" w:cs="宋体"/>
          <w:bCs/>
          <w:color w:val="auto"/>
          <w:sz w:val="24"/>
          <w:szCs w:val="24"/>
          <w:highlight w:val="none"/>
        </w:rPr>
        <w:t>乙方（买方）：</w:t>
      </w:r>
      <w:r>
        <w:rPr>
          <w:rFonts w:hint="eastAsia" w:ascii="宋体" w:hAnsi="宋体" w:cs="宋体"/>
          <w:bCs/>
          <w:color w:val="auto"/>
          <w:sz w:val="24"/>
          <w:szCs w:val="24"/>
          <w:highlight w:val="none"/>
          <w:u w:val="single"/>
          <w:lang w:val="en-US" w:eastAsia="zh-CN"/>
        </w:rPr>
        <w:t xml:space="preserve">                            </w:t>
      </w:r>
    </w:p>
    <w:p w14:paraId="442CCCDD">
      <w:pPr>
        <w:keepNext w:val="0"/>
        <w:keepLines w:val="0"/>
        <w:pageBreakBefore w:val="0"/>
        <w:widowControl/>
        <w:numPr>
          <w:ilvl w:val="0"/>
          <w:numId w:val="0"/>
        </w:numPr>
        <w:shd w:val="clear"/>
        <w:kinsoku/>
        <w:wordWrap/>
        <w:overflowPunct/>
        <w:topLinePunct w:val="0"/>
        <w:autoSpaceDE/>
        <w:autoSpaceDN/>
        <w:bidi w:val="0"/>
        <w:adjustRightInd/>
        <w:snapToGrid/>
        <w:spacing w:line="520" w:lineRule="exact"/>
        <w:ind w:firstLine="480" w:firstLineChars="200"/>
        <w:jc w:val="both"/>
        <w:textAlignment w:val="auto"/>
        <w:rPr>
          <w:rFonts w:hint="eastAsia" w:ascii="宋体" w:hAnsi="宋体"/>
          <w:color w:val="auto"/>
          <w:sz w:val="24"/>
          <w:szCs w:val="24"/>
          <w:highlight w:val="none"/>
        </w:rPr>
      </w:pPr>
      <w:r>
        <w:rPr>
          <w:rFonts w:hint="eastAsia" w:ascii="宋体" w:hAnsi="宋体"/>
          <w:color w:val="auto"/>
          <w:sz w:val="24"/>
          <w:szCs w:val="24"/>
          <w:highlight w:val="none"/>
        </w:rPr>
        <w:t>甲方委托</w:t>
      </w:r>
      <w:r>
        <w:rPr>
          <w:rFonts w:hint="eastAsia" w:ascii="宋体" w:hAnsi="宋体"/>
          <w:color w:val="auto"/>
          <w:sz w:val="24"/>
          <w:szCs w:val="24"/>
          <w:highlight w:val="none"/>
          <w:u w:val="single"/>
          <w:lang w:val="en-US" w:eastAsia="zh-CN"/>
        </w:rPr>
        <w:t>国家粮食浙江交易中心</w:t>
      </w:r>
      <w:r>
        <w:rPr>
          <w:rFonts w:hint="eastAsia" w:ascii="宋体" w:hAnsi="宋体"/>
          <w:color w:val="auto"/>
          <w:sz w:val="24"/>
          <w:szCs w:val="24"/>
          <w:highlight w:val="none"/>
          <w:lang w:val="en-US" w:eastAsia="zh-CN"/>
        </w:rPr>
        <w:t>在</w:t>
      </w:r>
      <w:r>
        <w:rPr>
          <w:rFonts w:hint="eastAsia" w:ascii="宋体" w:hAnsi="宋体"/>
          <w:color w:val="auto"/>
          <w:sz w:val="24"/>
          <w:szCs w:val="24"/>
          <w:highlight w:val="none"/>
        </w:rPr>
        <w:t>其网上</w:t>
      </w:r>
      <w:r>
        <w:rPr>
          <w:rFonts w:hint="eastAsia" w:ascii="宋体" w:hAnsi="宋体"/>
          <w:color w:val="auto"/>
          <w:sz w:val="24"/>
          <w:szCs w:val="24"/>
          <w:highlight w:val="none"/>
          <w:lang w:val="en-US" w:eastAsia="zh-CN"/>
        </w:rPr>
        <w:t>交易平台</w:t>
      </w:r>
      <w:r>
        <w:rPr>
          <w:rFonts w:hint="eastAsia" w:ascii="宋体" w:hAnsi="宋体"/>
          <w:color w:val="auto"/>
          <w:sz w:val="24"/>
          <w:szCs w:val="24"/>
          <w:highlight w:val="none"/>
        </w:rPr>
        <w:t>进行</w:t>
      </w:r>
      <w:r>
        <w:rPr>
          <w:rFonts w:hint="eastAsia" w:ascii="宋体" w:hAnsi="宋体"/>
          <w:color w:val="auto"/>
          <w:sz w:val="24"/>
          <w:szCs w:val="24"/>
          <w:highlight w:val="none"/>
          <w:u w:val="single"/>
          <w:lang w:val="en-US" w:eastAsia="zh-CN"/>
        </w:rPr>
        <w:t xml:space="preserve">       </w:t>
      </w:r>
      <w:r>
        <w:rPr>
          <w:rFonts w:hint="eastAsia" w:ascii="宋体" w:hAnsi="宋体"/>
          <w:color w:val="auto"/>
          <w:sz w:val="24"/>
          <w:szCs w:val="24"/>
          <w:highlight w:val="none"/>
        </w:rPr>
        <w:t>（品种）的竞价销售（场次名称：</w:t>
      </w:r>
      <w:r>
        <w:rPr>
          <w:rFonts w:hint="eastAsia" w:ascii="宋体" w:hAnsi="宋体"/>
          <w:color w:val="auto"/>
          <w:sz w:val="24"/>
          <w:szCs w:val="24"/>
          <w:highlight w:val="none"/>
          <w:u w:val="single"/>
        </w:rPr>
        <w:t>国粮浙交2025第</w:t>
      </w:r>
      <w:r>
        <w:rPr>
          <w:rFonts w:hint="eastAsia" w:ascii="宋体" w:hAnsi="宋体"/>
          <w:color w:val="auto"/>
          <w:sz w:val="24"/>
          <w:szCs w:val="24"/>
          <w:highlight w:val="none"/>
          <w:u w:val="single"/>
          <w:lang w:val="en-US" w:eastAsia="zh-CN"/>
        </w:rPr>
        <w:t xml:space="preserve">   </w:t>
      </w:r>
      <w:bookmarkStart w:id="0" w:name="_GoBack"/>
      <w:bookmarkEnd w:id="0"/>
      <w:r>
        <w:rPr>
          <w:rFonts w:hint="eastAsia" w:ascii="宋体" w:hAnsi="宋体"/>
          <w:color w:val="auto"/>
          <w:sz w:val="24"/>
          <w:szCs w:val="24"/>
          <w:highlight w:val="none"/>
          <w:u w:val="single"/>
        </w:rPr>
        <w:t>号</w:t>
      </w:r>
      <w:r>
        <w:rPr>
          <w:rFonts w:hint="eastAsia" w:ascii="宋体" w:hAnsi="宋体"/>
          <w:color w:val="auto"/>
          <w:sz w:val="24"/>
          <w:szCs w:val="24"/>
          <w:highlight w:val="none"/>
        </w:rPr>
        <w:t>），乙方在竞价交易中</w:t>
      </w:r>
      <w:r>
        <w:rPr>
          <w:rFonts w:hint="eastAsia" w:ascii="宋体" w:hAnsi="宋体"/>
          <w:color w:val="auto"/>
          <w:sz w:val="24"/>
          <w:szCs w:val="24"/>
          <w:highlight w:val="none"/>
          <w:lang w:val="en-US" w:eastAsia="zh-CN"/>
        </w:rPr>
        <w:t>中标</w:t>
      </w:r>
      <w:r>
        <w:rPr>
          <w:rFonts w:hint="eastAsia" w:ascii="宋体" w:hAnsi="宋体"/>
          <w:color w:val="auto"/>
          <w:sz w:val="24"/>
          <w:szCs w:val="24"/>
          <w:highlight w:val="none"/>
        </w:rPr>
        <w:t>。甲、乙双方依据“竞价销售公告”及“</w:t>
      </w:r>
      <w:r>
        <w:rPr>
          <w:rFonts w:hint="eastAsia" w:ascii="宋体" w:hAnsi="宋体"/>
          <w:color w:val="auto"/>
          <w:sz w:val="24"/>
          <w:szCs w:val="24"/>
          <w:highlight w:val="none"/>
          <w:lang w:val="en-US" w:eastAsia="zh-CN"/>
        </w:rPr>
        <w:t>竞得</w:t>
      </w:r>
      <w:r>
        <w:rPr>
          <w:rFonts w:hint="eastAsia" w:ascii="宋体" w:hAnsi="宋体"/>
          <w:color w:val="auto"/>
          <w:sz w:val="24"/>
          <w:szCs w:val="24"/>
          <w:highlight w:val="none"/>
        </w:rPr>
        <w:t>通知书”完成交易。为明确</w:t>
      </w:r>
      <w:r>
        <w:rPr>
          <w:rFonts w:hint="eastAsia" w:ascii="宋体" w:hAnsi="宋体"/>
          <w:color w:val="auto"/>
          <w:sz w:val="24"/>
          <w:szCs w:val="24"/>
          <w:highlight w:val="none"/>
          <w:lang w:val="en-US" w:eastAsia="zh-CN"/>
        </w:rPr>
        <w:t>甲、乙</w:t>
      </w:r>
      <w:r>
        <w:rPr>
          <w:rFonts w:hint="eastAsia" w:ascii="宋体" w:hAnsi="宋体"/>
          <w:color w:val="auto"/>
          <w:sz w:val="24"/>
          <w:szCs w:val="24"/>
          <w:highlight w:val="none"/>
        </w:rPr>
        <w:t>双方责任，依据《中华人民共和国民法典》及网上粮食交易相关规定，特订立以下合同条款，以资共同遵守。</w:t>
      </w:r>
    </w:p>
    <w:p w14:paraId="02A6287D">
      <w:pPr>
        <w:keepNext w:val="0"/>
        <w:keepLines w:val="0"/>
        <w:pageBreakBefore w:val="0"/>
        <w:widowControl/>
        <w:numPr>
          <w:ilvl w:val="0"/>
          <w:numId w:val="0"/>
        </w:numPr>
        <w:shd w:val="clear"/>
        <w:kinsoku/>
        <w:wordWrap/>
        <w:overflowPunct/>
        <w:topLinePunct w:val="0"/>
        <w:autoSpaceDE/>
        <w:autoSpaceDN/>
        <w:bidi w:val="0"/>
        <w:adjustRightInd/>
        <w:snapToGrid/>
        <w:spacing w:line="520" w:lineRule="exact"/>
        <w:ind w:firstLine="480" w:firstLineChars="200"/>
        <w:jc w:val="both"/>
        <w:textAlignment w:val="auto"/>
        <w:rPr>
          <w:rFonts w:hint="eastAsia" w:ascii="宋体" w:hAnsi="宋体"/>
          <w:color w:val="auto"/>
          <w:sz w:val="24"/>
          <w:szCs w:val="24"/>
          <w:highlight w:val="none"/>
        </w:rPr>
      </w:pPr>
      <w:r>
        <w:rPr>
          <w:rFonts w:hint="eastAsia" w:ascii="宋体" w:hAnsi="宋体"/>
          <w:color w:val="auto"/>
          <w:sz w:val="24"/>
          <w:szCs w:val="24"/>
          <w:highlight w:val="none"/>
        </w:rPr>
        <w:t>销售内容</w:t>
      </w:r>
      <w:r>
        <w:rPr>
          <w:rFonts w:hint="eastAsia" w:ascii="宋体" w:hAnsi="宋体"/>
          <w:color w:val="auto"/>
          <w:sz w:val="24"/>
          <w:szCs w:val="24"/>
          <w:highlight w:val="none"/>
          <w:lang w:val="en-US" w:eastAsia="zh-CN"/>
        </w:rPr>
        <w:t>及金额</w:t>
      </w:r>
    </w:p>
    <w:tbl>
      <w:tblPr>
        <w:tblStyle w:val="5"/>
        <w:tblpPr w:leftFromText="180" w:rightFromText="180" w:vertAnchor="text" w:horzAnchor="page" w:tblpX="1535" w:tblpY="164"/>
        <w:tblOverlap w:val="never"/>
        <w:tblW w:w="91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66"/>
        <w:gridCol w:w="1155"/>
        <w:gridCol w:w="720"/>
        <w:gridCol w:w="780"/>
        <w:gridCol w:w="1320"/>
        <w:gridCol w:w="1070"/>
        <w:gridCol w:w="1361"/>
        <w:gridCol w:w="1253"/>
      </w:tblGrid>
      <w:tr w14:paraId="6AC31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674" w:type="dxa"/>
            <w:tcBorders>
              <w:top w:val="single" w:color="auto" w:sz="4" w:space="0"/>
              <w:left w:val="single" w:color="auto" w:sz="4" w:space="0"/>
              <w:bottom w:val="single" w:color="auto" w:sz="4" w:space="0"/>
              <w:right w:val="single" w:color="auto" w:sz="4" w:space="0"/>
            </w:tcBorders>
            <w:noWrap w:val="0"/>
            <w:vAlign w:val="center"/>
          </w:tcPr>
          <w:p w14:paraId="546969D9">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标的</w:t>
            </w:r>
          </w:p>
        </w:tc>
        <w:tc>
          <w:tcPr>
            <w:tcW w:w="866" w:type="dxa"/>
            <w:tcBorders>
              <w:top w:val="single" w:color="auto" w:sz="4" w:space="0"/>
              <w:left w:val="single" w:color="auto" w:sz="4" w:space="0"/>
              <w:bottom w:val="single" w:color="auto" w:sz="4" w:space="0"/>
              <w:right w:val="single" w:color="auto" w:sz="4" w:space="0"/>
            </w:tcBorders>
            <w:noWrap w:val="0"/>
            <w:vAlign w:val="center"/>
          </w:tcPr>
          <w:p w14:paraId="12A35D1B">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品种</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38D29E4">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产地</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19FCEFE3">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生产年份</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2BED324E">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包装方式</w:t>
            </w:r>
          </w:p>
        </w:tc>
        <w:tc>
          <w:tcPr>
            <w:tcW w:w="1320" w:type="dxa"/>
            <w:tcBorders>
              <w:top w:val="single" w:color="auto" w:sz="4" w:space="0"/>
              <w:left w:val="single" w:color="auto" w:sz="4" w:space="0"/>
              <w:bottom w:val="single" w:color="auto" w:sz="4" w:space="0"/>
              <w:right w:val="single" w:color="auto" w:sz="4" w:space="0"/>
            </w:tcBorders>
            <w:noWrap w:val="0"/>
            <w:vAlign w:val="center"/>
          </w:tcPr>
          <w:p w14:paraId="5C8497CA">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中标价格</w:t>
            </w:r>
          </w:p>
          <w:p w14:paraId="5CE9D7B8">
            <w:pPr>
              <w:shd w:val="clear"/>
              <w:jc w:val="center"/>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（元/吨）</w:t>
            </w:r>
          </w:p>
        </w:tc>
        <w:tc>
          <w:tcPr>
            <w:tcW w:w="1070" w:type="dxa"/>
            <w:tcBorders>
              <w:top w:val="single" w:color="auto" w:sz="4" w:space="0"/>
              <w:left w:val="single" w:color="auto" w:sz="4" w:space="0"/>
              <w:bottom w:val="single" w:color="auto" w:sz="4" w:space="0"/>
              <w:right w:val="single" w:color="auto" w:sz="4" w:space="0"/>
            </w:tcBorders>
            <w:noWrap w:val="0"/>
            <w:vAlign w:val="center"/>
          </w:tcPr>
          <w:p w14:paraId="64508D75">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数量</w:t>
            </w:r>
          </w:p>
          <w:p w14:paraId="18E943F9">
            <w:pPr>
              <w:shd w:val="clear"/>
              <w:jc w:val="center"/>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（吨）</w:t>
            </w:r>
          </w:p>
        </w:tc>
        <w:tc>
          <w:tcPr>
            <w:tcW w:w="1361" w:type="dxa"/>
            <w:tcBorders>
              <w:top w:val="single" w:color="auto" w:sz="4" w:space="0"/>
              <w:left w:val="single" w:color="auto" w:sz="4" w:space="0"/>
              <w:bottom w:val="single" w:color="auto" w:sz="4" w:space="0"/>
              <w:right w:val="single" w:color="auto" w:sz="4" w:space="0"/>
            </w:tcBorders>
            <w:noWrap w:val="0"/>
            <w:vAlign w:val="center"/>
          </w:tcPr>
          <w:p w14:paraId="42254617">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成交额</w:t>
            </w:r>
          </w:p>
          <w:p w14:paraId="6B2C8B95">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（元）</w:t>
            </w:r>
          </w:p>
        </w:tc>
        <w:tc>
          <w:tcPr>
            <w:tcW w:w="1253" w:type="dxa"/>
            <w:tcBorders>
              <w:top w:val="single" w:color="auto" w:sz="4" w:space="0"/>
              <w:left w:val="single" w:color="auto" w:sz="4" w:space="0"/>
              <w:bottom w:val="single" w:color="auto" w:sz="4" w:space="0"/>
              <w:right w:val="single" w:color="auto" w:sz="4" w:space="0"/>
            </w:tcBorders>
            <w:noWrap w:val="0"/>
            <w:vAlign w:val="center"/>
          </w:tcPr>
          <w:p w14:paraId="446522C3">
            <w:pPr>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单位、仓点</w:t>
            </w:r>
          </w:p>
        </w:tc>
      </w:tr>
      <w:tr w14:paraId="55E80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trPr>
        <w:tc>
          <w:tcPr>
            <w:tcW w:w="674" w:type="dxa"/>
            <w:tcBorders>
              <w:top w:val="single" w:color="auto" w:sz="4" w:space="0"/>
              <w:left w:val="single" w:color="auto" w:sz="4" w:space="0"/>
              <w:bottom w:val="single" w:color="auto" w:sz="4" w:space="0"/>
              <w:right w:val="single" w:color="auto" w:sz="4" w:space="0"/>
            </w:tcBorders>
            <w:noWrap w:val="0"/>
            <w:vAlign w:val="center"/>
          </w:tcPr>
          <w:p w14:paraId="3F290444">
            <w:pPr>
              <w:widowControl w:val="0"/>
              <w:shd w:val="clear"/>
              <w:jc w:val="center"/>
              <w:rPr>
                <w:rFonts w:hint="default" w:ascii="宋体" w:hAnsi="宋体" w:cs="宋体"/>
                <w:sz w:val="21"/>
                <w:szCs w:val="21"/>
                <w:highlight w:val="none"/>
                <w:lang w:val="en-US" w:eastAsia="zh-CN" w:bidi="ar-SA"/>
              </w:rPr>
            </w:pPr>
            <w:r>
              <w:rPr>
                <w:rFonts w:hint="eastAsia" w:ascii="宋体" w:hAnsi="宋体" w:cs="宋体"/>
                <w:sz w:val="21"/>
                <w:szCs w:val="21"/>
                <w:highlight w:val="none"/>
                <w:lang w:val="en-US" w:eastAsia="zh-CN" w:bidi="ar-SA"/>
              </w:rPr>
              <w:t>永嘉01</w:t>
            </w:r>
          </w:p>
        </w:tc>
        <w:tc>
          <w:tcPr>
            <w:tcW w:w="866" w:type="dxa"/>
            <w:tcBorders>
              <w:top w:val="single" w:color="auto" w:sz="4" w:space="0"/>
              <w:left w:val="single" w:color="auto" w:sz="4" w:space="0"/>
              <w:bottom w:val="single" w:color="auto" w:sz="4" w:space="0"/>
              <w:right w:val="single" w:color="auto" w:sz="4" w:space="0"/>
            </w:tcBorders>
            <w:noWrap w:val="0"/>
            <w:vAlign w:val="center"/>
          </w:tcPr>
          <w:p w14:paraId="53C2689A">
            <w:pPr>
              <w:widowControl w:val="0"/>
              <w:shd w:val="clear"/>
              <w:jc w:val="center"/>
              <w:rPr>
                <w:rFonts w:hint="default" w:ascii="宋体" w:hAnsi="宋体" w:cs="宋体"/>
                <w:sz w:val="21"/>
                <w:szCs w:val="21"/>
                <w:highlight w:val="none"/>
                <w:lang w:val="en-US" w:eastAsia="zh-CN" w:bidi="ar-SA"/>
              </w:rPr>
            </w:pPr>
            <w:r>
              <w:rPr>
                <w:rFonts w:hint="eastAsia" w:ascii="宋体" w:hAnsi="宋体" w:cs="宋体"/>
                <w:sz w:val="21"/>
                <w:szCs w:val="21"/>
                <w:highlight w:val="none"/>
                <w:lang w:val="en-US" w:eastAsia="zh-CN" w:bidi="ar-SA"/>
              </w:rPr>
              <w:t xml:space="preserve"> </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1350A5C8">
            <w:pPr>
              <w:widowControl w:val="0"/>
              <w:shd w:val="clear"/>
              <w:jc w:val="center"/>
              <w:rPr>
                <w:rFonts w:hint="default" w:ascii="宋体" w:hAnsi="宋体" w:cs="宋体"/>
                <w:bCs/>
                <w:sz w:val="21"/>
                <w:szCs w:val="21"/>
                <w:highlight w:val="none"/>
                <w:lang w:val="en-US" w:eastAsia="zh-CN" w:bidi="ar-SA"/>
              </w:rPr>
            </w:pPr>
          </w:p>
        </w:tc>
        <w:tc>
          <w:tcPr>
            <w:tcW w:w="720" w:type="dxa"/>
            <w:tcBorders>
              <w:top w:val="single" w:color="auto" w:sz="4" w:space="0"/>
              <w:left w:val="single" w:color="auto" w:sz="4" w:space="0"/>
              <w:bottom w:val="single" w:color="auto" w:sz="4" w:space="0"/>
              <w:right w:val="single" w:color="auto" w:sz="4" w:space="0"/>
            </w:tcBorders>
            <w:noWrap w:val="0"/>
            <w:vAlign w:val="center"/>
          </w:tcPr>
          <w:p w14:paraId="2F24654E">
            <w:pPr>
              <w:widowControl w:val="0"/>
              <w:shd w:val="clear"/>
              <w:jc w:val="center"/>
              <w:rPr>
                <w:rFonts w:hint="default" w:ascii="宋体" w:hAnsi="宋体" w:eastAsia="宋体" w:cs="宋体"/>
                <w:bCs/>
                <w:sz w:val="21"/>
                <w:szCs w:val="21"/>
                <w:highlight w:val="none"/>
                <w:lang w:val="en-US" w:eastAsia="zh-CN" w:bidi="ar-SA"/>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6FD1AABD">
            <w:pPr>
              <w:widowControl w:val="0"/>
              <w:shd w:val="clear"/>
              <w:jc w:val="center"/>
              <w:rPr>
                <w:rFonts w:hint="default" w:ascii="宋体" w:hAnsi="宋体" w:eastAsia="宋体" w:cs="宋体"/>
                <w:bCs/>
                <w:sz w:val="21"/>
                <w:szCs w:val="21"/>
                <w:highlight w:val="none"/>
                <w:lang w:val="en-US" w:bidi="ar-SA"/>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14:paraId="35F8E49C">
            <w:pPr>
              <w:widowControl w:val="0"/>
              <w:shd w:val="clear"/>
              <w:jc w:val="center"/>
              <w:rPr>
                <w:rFonts w:hint="default" w:ascii="宋体" w:hAnsi="宋体" w:cs="宋体"/>
                <w:bCs/>
                <w:kern w:val="2"/>
                <w:sz w:val="21"/>
                <w:szCs w:val="21"/>
                <w:highlight w:val="none"/>
                <w:lang w:val="en-US" w:eastAsia="zh-CN" w:bidi="ar-SA"/>
              </w:rPr>
            </w:pPr>
          </w:p>
        </w:tc>
        <w:tc>
          <w:tcPr>
            <w:tcW w:w="1070" w:type="dxa"/>
            <w:tcBorders>
              <w:top w:val="single" w:color="auto" w:sz="4" w:space="0"/>
              <w:left w:val="single" w:color="auto" w:sz="4" w:space="0"/>
              <w:bottom w:val="single" w:color="auto" w:sz="4" w:space="0"/>
              <w:right w:val="single" w:color="auto" w:sz="4" w:space="0"/>
            </w:tcBorders>
            <w:noWrap w:val="0"/>
            <w:vAlign w:val="center"/>
          </w:tcPr>
          <w:p w14:paraId="46589136">
            <w:pPr>
              <w:widowControl w:val="0"/>
              <w:shd w:val="clear"/>
              <w:jc w:val="center"/>
              <w:rPr>
                <w:rFonts w:hint="default" w:ascii="宋体" w:hAnsi="宋体" w:cs="宋体"/>
                <w:bCs/>
                <w:kern w:val="2"/>
                <w:sz w:val="21"/>
                <w:szCs w:val="21"/>
                <w:highlight w:val="none"/>
                <w:lang w:val="en-US" w:eastAsia="zh-CN" w:bidi="ar-SA"/>
              </w:rPr>
            </w:pPr>
          </w:p>
        </w:tc>
        <w:tc>
          <w:tcPr>
            <w:tcW w:w="1361" w:type="dxa"/>
            <w:tcBorders>
              <w:top w:val="single" w:color="auto" w:sz="4" w:space="0"/>
              <w:left w:val="single" w:color="auto" w:sz="4" w:space="0"/>
              <w:bottom w:val="single" w:color="auto" w:sz="4" w:space="0"/>
              <w:right w:val="single" w:color="auto" w:sz="4" w:space="0"/>
            </w:tcBorders>
            <w:noWrap w:val="0"/>
            <w:vAlign w:val="center"/>
          </w:tcPr>
          <w:p w14:paraId="237F862C">
            <w:pPr>
              <w:widowControl w:val="0"/>
              <w:shd w:val="clear"/>
              <w:jc w:val="center"/>
              <w:rPr>
                <w:rFonts w:hint="default" w:ascii="宋体" w:hAnsi="宋体" w:cs="宋体"/>
                <w:sz w:val="21"/>
                <w:szCs w:val="21"/>
                <w:highlight w:val="none"/>
                <w:lang w:val="en-US" w:eastAsia="zh-CN"/>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14:paraId="6FF15547">
            <w:pPr>
              <w:widowControl w:val="0"/>
              <w:shd w:val="clear"/>
              <w:jc w:val="center"/>
              <w:rPr>
                <w:rFonts w:hint="default" w:ascii="宋体" w:hAnsi="宋体" w:cs="宋体"/>
                <w:bCs/>
                <w:sz w:val="21"/>
                <w:szCs w:val="21"/>
                <w:highlight w:val="none"/>
                <w:lang w:val="en-US" w:eastAsia="zh-CN" w:bidi="ar-SA"/>
              </w:rPr>
            </w:pPr>
          </w:p>
        </w:tc>
      </w:tr>
      <w:tr w14:paraId="24285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trPr>
        <w:tc>
          <w:tcPr>
            <w:tcW w:w="2695" w:type="dxa"/>
            <w:gridSpan w:val="3"/>
            <w:tcBorders>
              <w:top w:val="single" w:color="auto" w:sz="4" w:space="0"/>
              <w:left w:val="single" w:color="auto" w:sz="4" w:space="0"/>
              <w:bottom w:val="single" w:color="auto" w:sz="4" w:space="0"/>
              <w:right w:val="single" w:color="auto" w:sz="4" w:space="0"/>
            </w:tcBorders>
            <w:noWrap w:val="0"/>
            <w:vAlign w:val="center"/>
          </w:tcPr>
          <w:p w14:paraId="44AA1068">
            <w:pPr>
              <w:widowControl w:val="0"/>
              <w:shd w:val="clear"/>
              <w:jc w:val="cente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合计</w:t>
            </w:r>
          </w:p>
        </w:tc>
        <w:tc>
          <w:tcPr>
            <w:tcW w:w="1500" w:type="dxa"/>
            <w:gridSpan w:val="2"/>
            <w:tcBorders>
              <w:top w:val="single" w:color="auto" w:sz="4" w:space="0"/>
              <w:left w:val="single" w:color="auto" w:sz="4" w:space="0"/>
              <w:bottom w:val="single" w:color="auto" w:sz="4" w:space="0"/>
              <w:right w:val="single" w:color="auto" w:sz="4" w:space="0"/>
            </w:tcBorders>
            <w:noWrap w:val="0"/>
            <w:vAlign w:val="center"/>
          </w:tcPr>
          <w:p w14:paraId="181900C9">
            <w:pPr>
              <w:widowControl w:val="0"/>
              <w:shd w:val="clear"/>
              <w:jc w:val="center"/>
              <w:rPr>
                <w:rFonts w:hint="eastAsia" w:ascii="宋体" w:hAnsi="宋体" w:eastAsia="宋体" w:cs="宋体"/>
                <w:sz w:val="21"/>
                <w:szCs w:val="21"/>
                <w:highlight w:val="none"/>
                <w:lang w:val="en-US" w:eastAsia="zh-CN" w:bidi="ar-SA"/>
              </w:rPr>
            </w:pPr>
            <w:r>
              <w:rPr>
                <w:rFonts w:hint="eastAsia" w:ascii="宋体" w:hAnsi="宋体" w:cs="宋体"/>
                <w:sz w:val="21"/>
                <w:szCs w:val="21"/>
                <w:highlight w:val="none"/>
                <w:lang w:val="en-US" w:eastAsia="zh-CN" w:bidi="ar-SA"/>
              </w:rPr>
              <w:t xml:space="preserve"> </w:t>
            </w:r>
          </w:p>
        </w:tc>
        <w:tc>
          <w:tcPr>
            <w:tcW w:w="1320" w:type="dxa"/>
            <w:tcBorders>
              <w:top w:val="single" w:color="auto" w:sz="4" w:space="0"/>
              <w:left w:val="single" w:color="auto" w:sz="4" w:space="0"/>
              <w:bottom w:val="single" w:color="auto" w:sz="4" w:space="0"/>
              <w:right w:val="single" w:color="auto" w:sz="4" w:space="0"/>
            </w:tcBorders>
            <w:noWrap w:val="0"/>
            <w:vAlign w:val="center"/>
          </w:tcPr>
          <w:p w14:paraId="14F4E515">
            <w:pPr>
              <w:widowControl w:val="0"/>
              <w:shd w:val="clear"/>
              <w:jc w:val="center"/>
              <w:rPr>
                <w:rFonts w:hint="default" w:ascii="宋体" w:hAnsi="宋体" w:eastAsia="宋体" w:cs="宋体"/>
                <w:kern w:val="2"/>
                <w:sz w:val="21"/>
                <w:szCs w:val="21"/>
                <w:highlight w:val="none"/>
                <w:lang w:val="en-US" w:bidi="ar-SA"/>
              </w:rPr>
            </w:pPr>
          </w:p>
        </w:tc>
        <w:tc>
          <w:tcPr>
            <w:tcW w:w="1070" w:type="dxa"/>
            <w:tcBorders>
              <w:top w:val="single" w:color="auto" w:sz="4" w:space="0"/>
              <w:left w:val="single" w:color="auto" w:sz="4" w:space="0"/>
              <w:bottom w:val="single" w:color="auto" w:sz="4" w:space="0"/>
              <w:right w:val="single" w:color="auto" w:sz="4" w:space="0"/>
            </w:tcBorders>
            <w:noWrap w:val="0"/>
            <w:vAlign w:val="center"/>
          </w:tcPr>
          <w:p w14:paraId="53A402DA">
            <w:pPr>
              <w:widowControl w:val="0"/>
              <w:shd w:val="clear"/>
              <w:jc w:val="center"/>
              <w:rPr>
                <w:rFonts w:hint="default" w:ascii="宋体" w:hAnsi="宋体" w:eastAsia="宋体" w:cs="宋体"/>
                <w:bCs/>
                <w:sz w:val="21"/>
                <w:szCs w:val="21"/>
                <w:highlight w:val="none"/>
                <w:lang w:val="en-US" w:eastAsia="zh-CN" w:bidi="ar-SA"/>
              </w:rPr>
            </w:pPr>
          </w:p>
        </w:tc>
        <w:tc>
          <w:tcPr>
            <w:tcW w:w="1361" w:type="dxa"/>
            <w:tcBorders>
              <w:top w:val="single" w:color="auto" w:sz="4" w:space="0"/>
              <w:left w:val="single" w:color="auto" w:sz="4" w:space="0"/>
              <w:bottom w:val="single" w:color="auto" w:sz="4" w:space="0"/>
              <w:right w:val="single" w:color="auto" w:sz="4" w:space="0"/>
            </w:tcBorders>
            <w:noWrap w:val="0"/>
            <w:vAlign w:val="center"/>
          </w:tcPr>
          <w:p w14:paraId="2ECA9E3D">
            <w:pPr>
              <w:widowControl w:val="0"/>
              <w:shd w:val="clear"/>
              <w:jc w:val="center"/>
              <w:rPr>
                <w:rFonts w:hint="default" w:ascii="宋体" w:hAnsi="宋体" w:eastAsia="宋体" w:cs="宋体"/>
                <w:bCs/>
                <w:sz w:val="21"/>
                <w:szCs w:val="21"/>
                <w:highlight w:val="none"/>
                <w:lang w:val="en-US" w:eastAsia="zh-CN" w:bidi="ar-SA"/>
              </w:rPr>
            </w:pPr>
          </w:p>
        </w:tc>
        <w:tc>
          <w:tcPr>
            <w:tcW w:w="1253" w:type="dxa"/>
            <w:tcBorders>
              <w:top w:val="single" w:color="auto" w:sz="4" w:space="0"/>
              <w:left w:val="single" w:color="auto" w:sz="4" w:space="0"/>
              <w:bottom w:val="single" w:color="auto" w:sz="4" w:space="0"/>
              <w:right w:val="single" w:color="auto" w:sz="4" w:space="0"/>
            </w:tcBorders>
            <w:noWrap w:val="0"/>
            <w:vAlign w:val="center"/>
          </w:tcPr>
          <w:p w14:paraId="328316DE">
            <w:pPr>
              <w:widowControl w:val="0"/>
              <w:shd w:val="clear"/>
              <w:jc w:val="center"/>
              <w:rPr>
                <w:rFonts w:hint="default" w:ascii="宋体" w:hAnsi="宋体" w:eastAsia="宋体" w:cs="宋体"/>
                <w:sz w:val="21"/>
                <w:szCs w:val="21"/>
                <w:highlight w:val="none"/>
                <w:lang w:val="en-US" w:bidi="ar-SA"/>
              </w:rPr>
            </w:pPr>
          </w:p>
        </w:tc>
      </w:tr>
      <w:tr w14:paraId="350B9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9199" w:type="dxa"/>
            <w:gridSpan w:val="9"/>
            <w:tcBorders>
              <w:top w:val="single" w:color="auto" w:sz="4" w:space="0"/>
              <w:left w:val="single" w:color="auto" w:sz="4" w:space="0"/>
              <w:bottom w:val="single" w:color="auto" w:sz="4" w:space="0"/>
              <w:right w:val="single" w:color="auto" w:sz="4" w:space="0"/>
            </w:tcBorders>
            <w:noWrap w:val="0"/>
            <w:vAlign w:val="center"/>
          </w:tcPr>
          <w:p w14:paraId="5C3D60C6">
            <w:pPr>
              <w:shd w:val="clea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备注:</w:t>
            </w:r>
          </w:p>
          <w:p w14:paraId="2DB39F3B">
            <w:pPr>
              <w:shd w:val="clear"/>
              <w:spacing w:line="400" w:lineRule="exact"/>
              <w:jc w:val="both"/>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1.中标价格为仓内交付的价格（含税），包装、装卸等费用由乙方承担；</w:t>
            </w:r>
          </w:p>
          <w:p w14:paraId="1483475F">
            <w:pPr>
              <w:shd w:val="clear"/>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2.交付数量按照实际交付为准；</w:t>
            </w:r>
          </w:p>
        </w:tc>
      </w:tr>
    </w:tbl>
    <w:p w14:paraId="16A6F7E9">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lang w:val="en-US" w:eastAsia="zh-CN"/>
        </w:rPr>
      </w:pPr>
    </w:p>
    <w:p w14:paraId="4B761186">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u w:val="none"/>
        </w:rPr>
      </w:pPr>
      <w:r>
        <w:rPr>
          <w:rFonts w:hint="eastAsia" w:ascii="宋体" w:hAnsi="宋体" w:eastAsia="宋体" w:cs="Tahoma"/>
          <w:bCs w:val="0"/>
          <w:color w:val="auto"/>
          <w:sz w:val="24"/>
          <w:szCs w:val="24"/>
          <w:highlight w:val="none"/>
          <w:lang w:val="en-US" w:eastAsia="zh-CN"/>
        </w:rPr>
        <w:t>二、</w:t>
      </w:r>
      <w:r>
        <w:rPr>
          <w:rFonts w:hint="eastAsia" w:ascii="宋体" w:hAnsi="宋体" w:eastAsia="宋体" w:cs="Tahoma"/>
          <w:bCs w:val="0"/>
          <w:color w:val="auto"/>
          <w:sz w:val="24"/>
          <w:szCs w:val="24"/>
          <w:highlight w:val="none"/>
        </w:rPr>
        <w:t>质量指标</w:t>
      </w:r>
    </w:p>
    <w:p w14:paraId="0D6B5E3F">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u w:val="none"/>
          <w:lang w:val="en-US" w:eastAsia="zh-CN"/>
        </w:rPr>
      </w:pPr>
      <w:r>
        <w:rPr>
          <w:rFonts w:hint="eastAsia" w:ascii="宋体" w:hAnsi="宋体" w:eastAsia="宋体" w:cs="Tahoma"/>
          <w:bCs w:val="0"/>
          <w:color w:val="auto"/>
          <w:sz w:val="24"/>
          <w:szCs w:val="24"/>
          <w:highlight w:val="none"/>
          <w:u w:val="none"/>
        </w:rPr>
        <w:t>出库粮油质量指标应参照温州市粮油产品质量检测站出具的质量检验报告。若存在多份质量检验报告，则粮食质检数据应取加权平均值。检验项目应遵循永嘉县县级储备粮油质量管理要求执行，具体质量标准以实物交货为准。成交后，视为乙方对粮食质量无异议。</w:t>
      </w:r>
      <w:r>
        <w:rPr>
          <w:rFonts w:hint="eastAsia" w:ascii="宋体" w:hAnsi="宋体" w:eastAsia="宋体" w:cs="Tahoma"/>
          <w:bCs w:val="0"/>
          <w:color w:val="auto"/>
          <w:sz w:val="24"/>
          <w:szCs w:val="24"/>
          <w:highlight w:val="none"/>
          <w:u w:val="none"/>
          <w:lang w:val="en-US" w:eastAsia="zh-CN"/>
        </w:rPr>
        <w:t xml:space="preserve"> </w:t>
      </w:r>
    </w:p>
    <w:p w14:paraId="63EC272C">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u w:val="none"/>
          <w:lang w:val="en-US" w:eastAsia="zh-CN"/>
        </w:rPr>
      </w:pPr>
      <w:r>
        <w:rPr>
          <w:rFonts w:hint="eastAsia" w:ascii="宋体" w:hAnsi="宋体" w:eastAsia="宋体" w:cs="Tahoma"/>
          <w:bCs w:val="0"/>
          <w:color w:val="auto"/>
          <w:sz w:val="24"/>
          <w:szCs w:val="24"/>
          <w:highlight w:val="none"/>
          <w:u w:val="none"/>
          <w:lang w:val="en-US" w:eastAsia="zh-CN"/>
        </w:rPr>
        <w:t xml:space="preserve">   </w:t>
      </w:r>
    </w:p>
    <w:p w14:paraId="3E4DB09F">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u w:val="none"/>
          <w:lang w:val="en-US" w:eastAsia="zh-CN"/>
        </w:rPr>
      </w:pPr>
    </w:p>
    <w:p w14:paraId="09C6E593">
      <w:pPr>
        <w:keepNext w:val="0"/>
        <w:keepLines w:val="0"/>
        <w:pageBreakBefore w:val="0"/>
        <w:numPr>
          <w:ilvl w:val="0"/>
          <w:numId w:val="0"/>
        </w:numPr>
        <w:shd w:val="clear"/>
        <w:kinsoku/>
        <w:wordWrap w:val="0"/>
        <w:overflowPunct/>
        <w:topLinePunct w:val="0"/>
        <w:autoSpaceDE/>
        <w:autoSpaceDN/>
        <w:bidi w:val="0"/>
        <w:adjustRightInd/>
        <w:snapToGrid/>
        <w:spacing w:line="360" w:lineRule="auto"/>
        <w:textAlignment w:val="auto"/>
        <w:rPr>
          <w:rFonts w:hint="eastAsia" w:ascii="宋体" w:hAnsi="宋体" w:eastAsia="宋体" w:cs="Tahoma"/>
          <w:bCs w:val="0"/>
          <w:color w:val="auto"/>
          <w:sz w:val="24"/>
          <w:szCs w:val="24"/>
          <w:highlight w:val="none"/>
          <w:lang w:val="en-US" w:eastAsia="zh-CN"/>
        </w:rPr>
      </w:pPr>
    </w:p>
    <w:p w14:paraId="0937A59D">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lang w:val="en-US" w:eastAsia="zh-CN"/>
        </w:rPr>
      </w:pPr>
    </w:p>
    <w:p w14:paraId="56B3CC38">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lang w:val="en-US" w:eastAsia="zh-CN"/>
        </w:rPr>
      </w:pPr>
    </w:p>
    <w:p w14:paraId="3D4517D7">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三、</w:t>
      </w:r>
      <w:r>
        <w:rPr>
          <w:rFonts w:hint="eastAsia" w:ascii="宋体" w:hAnsi="宋体" w:eastAsia="宋体" w:cs="Tahoma"/>
          <w:bCs w:val="0"/>
          <w:color w:val="auto"/>
          <w:sz w:val="24"/>
          <w:szCs w:val="24"/>
          <w:highlight w:val="none"/>
        </w:rPr>
        <w:t>其它费用</w:t>
      </w:r>
    </w:p>
    <w:p w14:paraId="7E9F1BAE">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360" w:lineRule="auto"/>
        <w:ind w:left="0" w:leftChars="0" w:right="0" w:rightChars="0" w:firstLine="480" w:firstLineChars="200"/>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rPr>
        <w:t>费用名称：</w:t>
      </w:r>
      <w:r>
        <w:rPr>
          <w:rFonts w:hint="eastAsia" w:ascii="宋体" w:hAnsi="宋体" w:eastAsia="宋体" w:cs="Verdana"/>
          <w:bCs w:val="0"/>
          <w:color w:val="auto"/>
          <w:sz w:val="24"/>
          <w:szCs w:val="24"/>
          <w:highlight w:val="none"/>
          <w:u w:val="single"/>
        </w:rPr>
        <w:t xml:space="preserve"> </w:t>
      </w:r>
      <w:r>
        <w:rPr>
          <w:rFonts w:hint="eastAsia" w:ascii="宋体" w:hAnsi="宋体" w:cs="Verdana"/>
          <w:bCs w:val="0"/>
          <w:color w:val="auto"/>
          <w:sz w:val="24"/>
          <w:szCs w:val="24"/>
          <w:highlight w:val="none"/>
          <w:u w:val="single"/>
          <w:lang w:val="en-US" w:eastAsia="zh-CN"/>
        </w:rPr>
        <w:t xml:space="preserve">装卸费    </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6FDD05D9">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360" w:lineRule="auto"/>
        <w:ind w:left="0" w:leftChars="0" w:right="0" w:rightChars="0" w:firstLine="480" w:firstLineChars="200"/>
        <w:rPr>
          <w:rFonts w:hint="eastAsia" w:ascii="宋体" w:hAnsi="宋体" w:cs="Tahoma"/>
          <w:bCs w:val="0"/>
          <w:color w:val="auto"/>
          <w:sz w:val="24"/>
          <w:szCs w:val="24"/>
          <w:highlight w:val="none"/>
          <w:u w:val="none"/>
          <w:lang w:eastAsia="zh-CN"/>
        </w:rPr>
      </w:pPr>
      <w:r>
        <w:rPr>
          <w:rFonts w:hint="eastAsia" w:ascii="宋体" w:hAnsi="宋体" w:eastAsia="宋体" w:cs="Tahoma"/>
          <w:bCs w:val="0"/>
          <w:color w:val="auto"/>
          <w:sz w:val="24"/>
          <w:szCs w:val="24"/>
          <w:highlight w:val="none"/>
        </w:rPr>
        <w:t>费用标准：</w:t>
      </w:r>
      <w:r>
        <w:rPr>
          <w:rFonts w:hint="eastAsia" w:ascii="宋体" w:hAnsi="宋体" w:eastAsia="宋体" w:cs="宋体"/>
          <w:i w:val="0"/>
          <w:iCs w:val="0"/>
          <w:caps w:val="0"/>
          <w:color w:val="auto"/>
          <w:spacing w:val="0"/>
          <w:sz w:val="24"/>
          <w:szCs w:val="24"/>
          <w:highlight w:val="none"/>
          <w:u w:val="none"/>
        </w:rPr>
        <w:t>散装</w:t>
      </w:r>
      <w:r>
        <w:rPr>
          <w:rFonts w:hint="eastAsia" w:ascii="宋体" w:hAnsi="宋体" w:cs="宋体"/>
          <w:i w:val="0"/>
          <w:iCs w:val="0"/>
          <w:caps w:val="0"/>
          <w:color w:val="auto"/>
          <w:spacing w:val="0"/>
          <w:sz w:val="24"/>
          <w:szCs w:val="24"/>
          <w:highlight w:val="none"/>
          <w:u w:val="none"/>
          <w:lang w:val="en-US" w:eastAsia="zh-CN"/>
        </w:rPr>
        <w:t>粮</w:t>
      </w:r>
      <w:r>
        <w:rPr>
          <w:rFonts w:hint="eastAsia" w:ascii="宋体" w:hAnsi="宋体" w:cs="宋体"/>
          <w:i w:val="0"/>
          <w:iCs w:val="0"/>
          <w:caps w:val="0"/>
          <w:color w:val="auto"/>
          <w:spacing w:val="0"/>
          <w:sz w:val="24"/>
          <w:szCs w:val="24"/>
          <w:highlight w:val="none"/>
          <w:u w:val="single"/>
          <w:lang w:val="en-US" w:eastAsia="zh-CN"/>
        </w:rPr>
        <w:t>10.84</w:t>
      </w:r>
      <w:r>
        <w:rPr>
          <w:rFonts w:hint="eastAsia" w:ascii="宋体" w:hAnsi="宋体" w:eastAsia="宋体" w:cs="Tahoma"/>
          <w:bCs w:val="0"/>
          <w:color w:val="auto"/>
          <w:sz w:val="24"/>
          <w:szCs w:val="24"/>
          <w:highlight w:val="none"/>
          <w:u w:val="none"/>
          <w:lang w:eastAsia="zh-CN"/>
        </w:rPr>
        <w:t>元</w:t>
      </w:r>
      <w:r>
        <w:rPr>
          <w:rFonts w:hint="eastAsia" w:ascii="宋体" w:hAnsi="宋体" w:eastAsia="宋体" w:cs="Tahoma"/>
          <w:bCs w:val="0"/>
          <w:color w:val="auto"/>
          <w:sz w:val="24"/>
          <w:szCs w:val="24"/>
          <w:highlight w:val="none"/>
          <w:u w:val="none"/>
          <w:lang w:val="en-US" w:eastAsia="zh-CN"/>
        </w:rPr>
        <w:t>/</w:t>
      </w:r>
      <w:r>
        <w:rPr>
          <w:rFonts w:hint="eastAsia" w:ascii="宋体" w:hAnsi="宋体" w:eastAsia="宋体" w:cs="Tahoma"/>
          <w:bCs w:val="0"/>
          <w:color w:val="auto"/>
          <w:sz w:val="24"/>
          <w:szCs w:val="24"/>
          <w:highlight w:val="none"/>
          <w:u w:val="none"/>
          <w:lang w:eastAsia="zh-CN"/>
        </w:rPr>
        <w:t xml:space="preserve">吨 </w:t>
      </w:r>
      <w:r>
        <w:rPr>
          <w:rFonts w:hint="eastAsia" w:ascii="宋体" w:hAnsi="宋体" w:cs="Tahoma"/>
          <w:bCs w:val="0"/>
          <w:color w:val="auto"/>
          <w:sz w:val="24"/>
          <w:szCs w:val="24"/>
          <w:highlight w:val="none"/>
          <w:u w:val="none"/>
          <w:lang w:eastAsia="zh-CN"/>
        </w:rPr>
        <w:t>；</w:t>
      </w:r>
    </w:p>
    <w:p w14:paraId="6CE3AB95">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360" w:lineRule="auto"/>
        <w:ind w:left="0" w:leftChars="0" w:right="0" w:rightChars="0" w:firstLine="480" w:firstLineChars="200"/>
        <w:rPr>
          <w:rFonts w:hint="eastAsia" w:ascii="宋体" w:hAnsi="宋体" w:eastAsia="宋体" w:cs="Tahoma"/>
          <w:bCs w:val="0"/>
          <w:color w:val="auto"/>
          <w:sz w:val="24"/>
          <w:szCs w:val="24"/>
          <w:highlight w:val="none"/>
          <w:lang w:val="en-US" w:eastAsia="zh-CN"/>
        </w:rPr>
      </w:pPr>
      <w:r>
        <w:rPr>
          <w:rFonts w:hint="eastAsia" w:ascii="宋体" w:hAnsi="宋体" w:cs="Tahoma"/>
          <w:bCs w:val="0"/>
          <w:color w:val="auto"/>
          <w:sz w:val="24"/>
          <w:szCs w:val="24"/>
          <w:highlight w:val="none"/>
          <w:u w:val="none"/>
          <w:lang w:val="en-US" w:eastAsia="zh-CN"/>
        </w:rPr>
        <w:t>支付方式：</w:t>
      </w:r>
      <w:r>
        <w:rPr>
          <w:rFonts w:hint="eastAsia" w:ascii="宋体" w:hAnsi="宋体" w:eastAsia="宋体" w:cs="宋体"/>
          <w:i w:val="0"/>
          <w:iCs w:val="0"/>
          <w:caps w:val="0"/>
          <w:color w:val="auto"/>
          <w:spacing w:val="0"/>
          <w:sz w:val="24"/>
          <w:szCs w:val="24"/>
          <w:highlight w:val="none"/>
          <w:u w:val="none"/>
        </w:rPr>
        <w:t>乙方应在首次提货前一次性向温州一粒米农业开发有限公司</w:t>
      </w:r>
      <w:r>
        <w:rPr>
          <w:rFonts w:hint="eastAsia" w:ascii="宋体" w:hAnsi="宋体" w:cs="宋体"/>
          <w:i w:val="0"/>
          <w:iCs w:val="0"/>
          <w:caps w:val="0"/>
          <w:color w:val="auto"/>
          <w:spacing w:val="0"/>
          <w:sz w:val="24"/>
          <w:szCs w:val="24"/>
          <w:highlight w:val="none"/>
          <w:u w:val="none"/>
          <w:lang w:val="en-US" w:eastAsia="zh-CN"/>
        </w:rPr>
        <w:t>（装卸搬运公司）支付，收款账号：933001010077348894（中国邮政储蓄银行），联系电话：13353381711。</w:t>
      </w:r>
    </w:p>
    <w:p w14:paraId="4855F59F">
      <w:pPr>
        <w:keepNext w:val="0"/>
        <w:keepLines w:val="0"/>
        <w:pageBreakBefore w:val="0"/>
        <w:shd w:val="clear"/>
        <w:kinsoku/>
        <w:wordWrap w:val="0"/>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四</w:t>
      </w:r>
      <w:r>
        <w:rPr>
          <w:rFonts w:hint="eastAsia" w:ascii="宋体" w:hAnsi="宋体" w:eastAsia="宋体" w:cs="Tahoma"/>
          <w:bCs w:val="0"/>
          <w:color w:val="auto"/>
          <w:sz w:val="24"/>
          <w:szCs w:val="24"/>
          <w:highlight w:val="none"/>
        </w:rPr>
        <w:t>、</w:t>
      </w:r>
      <w:r>
        <w:rPr>
          <w:rFonts w:hint="eastAsia" w:ascii="宋体" w:hAnsi="宋体" w:eastAsia="宋体" w:cs="Tahoma"/>
          <w:bCs w:val="0"/>
          <w:color w:val="auto"/>
          <w:sz w:val="24"/>
          <w:szCs w:val="24"/>
          <w:highlight w:val="none"/>
          <w:lang w:val="en-US" w:eastAsia="zh-CN"/>
        </w:rPr>
        <w:t>提</w:t>
      </w:r>
      <w:r>
        <w:rPr>
          <w:rFonts w:hint="eastAsia" w:ascii="宋体" w:hAnsi="宋体" w:eastAsia="宋体" w:cs="Tahoma"/>
          <w:bCs w:val="0"/>
          <w:color w:val="auto"/>
          <w:sz w:val="24"/>
          <w:szCs w:val="24"/>
          <w:highlight w:val="none"/>
        </w:rPr>
        <w:t>货地点、</w:t>
      </w:r>
      <w:r>
        <w:rPr>
          <w:rFonts w:hint="eastAsia" w:ascii="宋体" w:hAnsi="宋体" w:eastAsia="宋体" w:cs="Tahoma"/>
          <w:bCs w:val="0"/>
          <w:color w:val="auto"/>
          <w:sz w:val="24"/>
          <w:szCs w:val="24"/>
          <w:highlight w:val="none"/>
          <w:lang w:val="en-US" w:eastAsia="zh-CN"/>
        </w:rPr>
        <w:t>提</w:t>
      </w:r>
      <w:r>
        <w:rPr>
          <w:rFonts w:hint="eastAsia" w:ascii="宋体" w:hAnsi="宋体" w:eastAsia="宋体" w:cs="Tahoma"/>
          <w:bCs w:val="0"/>
          <w:color w:val="auto"/>
          <w:sz w:val="24"/>
          <w:szCs w:val="24"/>
          <w:highlight w:val="none"/>
        </w:rPr>
        <w:t>货方式</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lang w:val="en-US" w:eastAsia="zh-CN"/>
        </w:rPr>
        <w:t>提</w:t>
      </w:r>
      <w:r>
        <w:rPr>
          <w:rFonts w:hint="eastAsia" w:ascii="宋体" w:hAnsi="宋体" w:eastAsia="宋体" w:cs="Tahoma"/>
          <w:bCs w:val="0"/>
          <w:color w:val="auto"/>
          <w:sz w:val="24"/>
          <w:szCs w:val="24"/>
          <w:highlight w:val="none"/>
        </w:rPr>
        <w:t>货期限</w:t>
      </w:r>
    </w:p>
    <w:p w14:paraId="0BAA7F1D">
      <w:pPr>
        <w:keepNext w:val="0"/>
        <w:keepLines w:val="0"/>
        <w:pageBreakBefore w:val="0"/>
        <w:widowControl/>
        <w:shd w:val="clear"/>
        <w:kinsoku/>
        <w:wordWrap w:val="0"/>
        <w:overflowPunct/>
        <w:topLinePunct w:val="0"/>
        <w:autoSpaceDE/>
        <w:autoSpaceDN/>
        <w:bidi w:val="0"/>
        <w:adjustRightInd/>
        <w:snapToGrid/>
        <w:spacing w:line="360" w:lineRule="auto"/>
        <w:ind w:left="480" w:leftChars="200" w:firstLine="0" w:firstLineChars="0"/>
        <w:jc w:val="both"/>
        <w:textAlignment w:val="auto"/>
        <w:rPr>
          <w:rFonts w:hint="eastAsia" w:ascii="宋体" w:hAnsi="宋体" w:eastAsia="宋体" w:cs="Tahoma"/>
          <w:bCs w:val="0"/>
          <w:color w:val="auto"/>
          <w:sz w:val="24"/>
          <w:szCs w:val="24"/>
          <w:highlight w:val="none"/>
          <w:u w:val="single"/>
        </w:rPr>
      </w:pPr>
      <w:r>
        <w:rPr>
          <w:rFonts w:hint="eastAsia" w:ascii="宋体" w:hAnsi="宋体" w:cs="Tahoma"/>
          <w:bCs w:val="0"/>
          <w:color w:val="auto"/>
          <w:sz w:val="24"/>
          <w:szCs w:val="24"/>
          <w:highlight w:val="none"/>
          <w:lang w:val="en-US" w:eastAsia="zh-CN"/>
        </w:rPr>
        <w:t>1、</w:t>
      </w:r>
      <w:r>
        <w:rPr>
          <w:rFonts w:hint="eastAsia" w:ascii="宋体" w:hAnsi="宋体" w:eastAsia="宋体" w:cs="Tahoma"/>
          <w:bCs w:val="0"/>
          <w:color w:val="auto"/>
          <w:sz w:val="24"/>
          <w:szCs w:val="24"/>
          <w:highlight w:val="none"/>
          <w:lang w:val="en-US" w:eastAsia="zh-CN"/>
        </w:rPr>
        <w:t>提</w:t>
      </w:r>
      <w:r>
        <w:rPr>
          <w:rFonts w:hint="eastAsia" w:ascii="宋体" w:hAnsi="宋体" w:eastAsia="宋体" w:cs="Tahoma"/>
          <w:bCs w:val="0"/>
          <w:color w:val="auto"/>
          <w:sz w:val="24"/>
          <w:szCs w:val="24"/>
          <w:highlight w:val="none"/>
        </w:rPr>
        <w:t>货地点</w:t>
      </w:r>
      <w:r>
        <w:rPr>
          <w:rFonts w:hint="eastAsia" w:ascii="宋体" w:hAnsi="宋体" w:eastAsia="宋体" w:cs="Tahoma"/>
          <w:bCs w:val="0"/>
          <w:color w:val="auto"/>
          <w:sz w:val="24"/>
          <w:szCs w:val="24"/>
          <w:highlight w:val="none"/>
          <w:u w:val="none"/>
        </w:rPr>
        <w:t>：</w:t>
      </w:r>
      <w:r>
        <w:rPr>
          <w:rFonts w:hint="eastAsia" w:ascii="宋体" w:hAnsi="宋体" w:cs="Tahoma"/>
          <w:bCs w:val="0"/>
          <w:color w:val="auto"/>
          <w:sz w:val="24"/>
          <w:szCs w:val="24"/>
          <w:highlight w:val="none"/>
          <w:u w:val="none"/>
          <w:lang w:val="en-US" w:eastAsia="zh-CN"/>
        </w:rPr>
        <w:t>永嘉县桥下储备库、</w:t>
      </w:r>
      <w:r>
        <w:rPr>
          <w:rFonts w:hint="eastAsia" w:ascii="宋体" w:hAnsi="宋体" w:eastAsia="宋体" w:cs="宋体"/>
          <w:color w:val="auto"/>
          <w:sz w:val="24"/>
          <w:szCs w:val="24"/>
          <w:lang w:val="en-US" w:eastAsia="zh-CN"/>
        </w:rPr>
        <w:t>乌牛粮库</w:t>
      </w:r>
      <w:r>
        <w:rPr>
          <w:rFonts w:hint="eastAsia" w:ascii="宋体" w:hAnsi="宋体" w:cs="Tahoma"/>
          <w:bCs w:val="0"/>
          <w:color w:val="auto"/>
          <w:sz w:val="24"/>
          <w:szCs w:val="24"/>
          <w:highlight w:val="none"/>
          <w:u w:val="none"/>
          <w:lang w:val="en-US" w:eastAsia="zh-CN"/>
        </w:rPr>
        <w:t xml:space="preserve"> </w:t>
      </w:r>
      <w:r>
        <w:rPr>
          <w:rFonts w:hint="eastAsia" w:ascii="宋体" w:hAnsi="宋体" w:eastAsia="宋体" w:cs="宋体"/>
          <w:i w:val="0"/>
          <w:iCs w:val="0"/>
          <w:caps w:val="0"/>
          <w:color w:val="auto"/>
          <w:spacing w:val="0"/>
          <w:sz w:val="24"/>
          <w:szCs w:val="24"/>
          <w:highlight w:val="none"/>
          <w:u w:val="none"/>
          <w:lang w:val="en-US" w:eastAsia="zh-CN"/>
        </w:rPr>
        <w:t>。</w:t>
      </w:r>
    </w:p>
    <w:p w14:paraId="5D65BFFA">
      <w:pPr>
        <w:keepNext w:val="0"/>
        <w:keepLines w:val="0"/>
        <w:pageBreakBefore w:val="0"/>
        <w:shd w:val="clear"/>
        <w:kinsoku/>
        <w:wordWrap w:val="0"/>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Tahoma"/>
          <w:bCs w:val="0"/>
          <w:color w:val="auto"/>
          <w:sz w:val="24"/>
          <w:szCs w:val="24"/>
          <w:highlight w:val="none"/>
          <w:u w:val="none"/>
          <w:lang w:val="en-US" w:eastAsia="zh-CN"/>
        </w:rPr>
      </w:pPr>
      <w:r>
        <w:rPr>
          <w:rFonts w:hint="eastAsia" w:ascii="宋体" w:hAnsi="宋体" w:cs="Verdana"/>
          <w:bCs w:val="0"/>
          <w:color w:val="auto"/>
          <w:sz w:val="24"/>
          <w:szCs w:val="24"/>
          <w:highlight w:val="none"/>
          <w:u w:val="none"/>
          <w:lang w:val="en-US" w:eastAsia="zh-CN"/>
        </w:rPr>
        <w:t>2、提货方式：乙方自提</w:t>
      </w:r>
      <w:r>
        <w:rPr>
          <w:rFonts w:hint="eastAsia" w:ascii="宋体" w:hAnsi="宋体" w:eastAsia="宋体" w:cs="Verdana"/>
          <w:bCs w:val="0"/>
          <w:color w:val="auto"/>
          <w:sz w:val="24"/>
          <w:szCs w:val="24"/>
          <w:highlight w:val="none"/>
          <w:u w:val="none"/>
          <w:lang w:val="en-US" w:eastAsia="zh-CN"/>
        </w:rPr>
        <w:t>，过磅计重</w:t>
      </w:r>
      <w:r>
        <w:rPr>
          <w:rFonts w:hint="eastAsia" w:ascii="宋体" w:hAnsi="宋体" w:cs="Verdana"/>
          <w:bCs w:val="0"/>
          <w:color w:val="auto"/>
          <w:sz w:val="24"/>
          <w:szCs w:val="24"/>
          <w:highlight w:val="none"/>
          <w:u w:val="none"/>
          <w:lang w:val="en-US" w:eastAsia="zh-CN"/>
        </w:rPr>
        <w:t>。</w:t>
      </w:r>
    </w:p>
    <w:p w14:paraId="47C290B7">
      <w:pPr>
        <w:keepNext w:val="0"/>
        <w:keepLines w:val="0"/>
        <w:pageBreakBefore w:val="0"/>
        <w:shd w:val="clear"/>
        <w:kinsoku/>
        <w:wordWrap w:val="0"/>
        <w:overflowPunct/>
        <w:topLinePunct w:val="0"/>
        <w:autoSpaceDE/>
        <w:autoSpaceDN/>
        <w:bidi w:val="0"/>
        <w:adjustRightInd/>
        <w:snapToGrid/>
        <w:spacing w:line="360" w:lineRule="auto"/>
        <w:ind w:firstLine="480" w:firstLineChars="200"/>
        <w:jc w:val="both"/>
        <w:textAlignment w:val="auto"/>
        <w:rPr>
          <w:rFonts w:hint="eastAsia" w:ascii="宋体" w:hAnsi="宋体" w:cs="Tahoma"/>
          <w:bCs w:val="0"/>
          <w:color w:val="auto"/>
          <w:sz w:val="24"/>
          <w:szCs w:val="24"/>
          <w:highlight w:val="none"/>
          <w:u w:val="none"/>
          <w:lang w:val="en-US" w:eastAsia="zh-CN"/>
        </w:rPr>
      </w:pPr>
      <w:r>
        <w:rPr>
          <w:rFonts w:hint="eastAsia" w:ascii="宋体" w:hAnsi="宋体" w:eastAsia="宋体" w:cs="Tahoma"/>
          <w:bCs w:val="0"/>
          <w:color w:val="auto"/>
          <w:sz w:val="24"/>
          <w:szCs w:val="24"/>
          <w:highlight w:val="none"/>
          <w:u w:val="none"/>
          <w:lang w:val="en-US" w:eastAsia="zh-CN"/>
        </w:rPr>
        <w:t>3、提</w:t>
      </w:r>
      <w:r>
        <w:rPr>
          <w:rFonts w:hint="eastAsia" w:ascii="宋体" w:hAnsi="宋体" w:eastAsia="宋体" w:cs="Tahoma"/>
          <w:bCs w:val="0"/>
          <w:color w:val="auto"/>
          <w:sz w:val="24"/>
          <w:szCs w:val="24"/>
          <w:highlight w:val="none"/>
          <w:u w:val="none"/>
        </w:rPr>
        <w:t>货期限：</w:t>
      </w:r>
      <w:r>
        <w:rPr>
          <w:rFonts w:hint="eastAsia" w:ascii="宋体" w:hAnsi="宋体" w:cs="Tahoma"/>
          <w:bCs w:val="0"/>
          <w:color w:val="auto"/>
          <w:sz w:val="24"/>
          <w:szCs w:val="24"/>
          <w:highlight w:val="none"/>
          <w:u w:val="none"/>
          <w:lang w:val="en-US" w:eastAsia="zh-CN"/>
        </w:rPr>
        <w:t>提货截止日期为</w:t>
      </w:r>
      <w:r>
        <w:rPr>
          <w:rFonts w:hint="eastAsia" w:ascii="宋体" w:hAnsi="宋体" w:cs="Tahoma"/>
          <w:bCs w:val="0"/>
          <w:color w:val="auto"/>
          <w:sz w:val="24"/>
          <w:szCs w:val="24"/>
          <w:highlight w:val="none"/>
          <w:u w:val="single"/>
          <w:lang w:val="en-US" w:eastAsia="zh-CN"/>
        </w:rPr>
        <w:t>2025年  月  日</w:t>
      </w:r>
      <w:r>
        <w:rPr>
          <w:rFonts w:hint="eastAsia" w:ascii="宋体" w:hAnsi="宋体" w:cs="Tahoma"/>
          <w:bCs w:val="0"/>
          <w:color w:val="auto"/>
          <w:sz w:val="24"/>
          <w:szCs w:val="24"/>
          <w:highlight w:val="none"/>
          <w:u w:val="none"/>
          <w:lang w:val="en-US" w:eastAsia="zh-CN"/>
        </w:rPr>
        <w:t>。乙方逾期提货将视为违约，违约将按照竞价公告、交割细则处理。</w:t>
      </w:r>
    </w:p>
    <w:p w14:paraId="0A677262">
      <w:pPr>
        <w:keepNext w:val="0"/>
        <w:keepLines w:val="0"/>
        <w:pageBreakBefore w:val="0"/>
        <w:shd w:val="clear"/>
        <w:kinsoku/>
        <w:wordWrap w:val="0"/>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auto"/>
          <w:sz w:val="24"/>
          <w:szCs w:val="24"/>
          <w:highlight w:val="none"/>
          <w:u w:val="none"/>
          <w:lang w:val="en-US" w:eastAsia="zh-CN"/>
        </w:rPr>
      </w:pPr>
      <w:r>
        <w:rPr>
          <w:rFonts w:hint="eastAsia" w:ascii="宋体" w:hAnsi="宋体" w:cs="宋体"/>
          <w:color w:val="auto"/>
          <w:sz w:val="24"/>
          <w:szCs w:val="24"/>
          <w:highlight w:val="none"/>
          <w:u w:val="none"/>
          <w:lang w:val="en-US" w:eastAsia="zh-CN"/>
        </w:rPr>
        <w:t>4、乙方原则上应实行均衡提货（日装卸约</w:t>
      </w:r>
      <w:r>
        <w:rPr>
          <w:rFonts w:hint="eastAsia" w:ascii="宋体" w:hAnsi="宋体" w:cs="宋体"/>
          <w:color w:val="auto"/>
          <w:sz w:val="24"/>
          <w:szCs w:val="24"/>
          <w:highlight w:val="none"/>
          <w:u w:val="single"/>
          <w:lang w:val="en-US" w:eastAsia="zh-CN"/>
        </w:rPr>
        <w:t>100</w:t>
      </w:r>
      <w:r>
        <w:rPr>
          <w:rFonts w:hint="eastAsia" w:ascii="宋体" w:hAnsi="宋体" w:cs="宋体"/>
          <w:color w:val="auto"/>
          <w:sz w:val="24"/>
          <w:szCs w:val="24"/>
          <w:highlight w:val="none"/>
          <w:u w:val="none"/>
          <w:lang w:val="en-US" w:eastAsia="zh-CN"/>
        </w:rPr>
        <w:t>吨），每次交货前应及时与甲方储粮库点协商交货时间和数量。若乙方需在非工作日交货，每次交货至少应提前1个工作日与甲方储粮库点协商交货时间和数量。甲方每日工作时间为8:30至16:30，法定节假日及人力不可抗拒情况除外。</w:t>
      </w:r>
    </w:p>
    <w:p w14:paraId="7CA6C6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宋体" w:hAnsi="宋体" w:eastAsia="宋体" w:cs="Tahoma"/>
          <w:bCs w:val="0"/>
          <w:color w:val="auto"/>
          <w:sz w:val="24"/>
          <w:szCs w:val="24"/>
          <w:highlight w:val="none"/>
          <w:lang w:val="en-US"/>
        </w:rPr>
      </w:pPr>
      <w:r>
        <w:rPr>
          <w:rFonts w:hint="eastAsia" w:ascii="宋体" w:hAnsi="宋体" w:eastAsia="宋体" w:cs="Tahoma"/>
          <w:bCs w:val="0"/>
          <w:color w:val="auto"/>
          <w:sz w:val="24"/>
          <w:szCs w:val="24"/>
          <w:highlight w:val="none"/>
          <w:lang w:val="en-US" w:eastAsia="zh-CN"/>
        </w:rPr>
        <w:t>五、短少与溢余</w:t>
      </w:r>
    </w:p>
    <w:p w14:paraId="664FE508">
      <w:pPr>
        <w:keepNext w:val="0"/>
        <w:keepLines w:val="0"/>
        <w:pageBreakBefore w:val="0"/>
        <w:widowControl/>
        <w:shd w:val="clear"/>
        <w:kinsoku/>
        <w:wordWrap w:val="0"/>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lang w:val="en-US" w:eastAsia="zh-CN"/>
        </w:rPr>
        <w:t>1、</w:t>
      </w:r>
      <w:r>
        <w:rPr>
          <w:rFonts w:hint="eastAsia" w:ascii="宋体" w:hAnsi="宋体" w:eastAsia="宋体" w:cs="宋体"/>
          <w:i w:val="0"/>
          <w:iCs w:val="0"/>
          <w:caps w:val="0"/>
          <w:color w:val="auto"/>
          <w:spacing w:val="0"/>
          <w:sz w:val="24"/>
          <w:szCs w:val="24"/>
          <w:highlight w:val="none"/>
        </w:rPr>
        <w:t>粮食短少。甲方原则上按照提货顺序足量发货。该仓出清后，若乙方是最后提货完成的，且数量少于标的数量的，由甲方按乙方中标价格（如乙方竞得</w:t>
      </w:r>
      <w:r>
        <w:rPr>
          <w:rFonts w:hint="eastAsia" w:ascii="宋体" w:hAnsi="宋体" w:cs="宋体"/>
          <w:i w:val="0"/>
          <w:iCs w:val="0"/>
          <w:caps w:val="0"/>
          <w:color w:val="auto"/>
          <w:spacing w:val="0"/>
          <w:sz w:val="24"/>
          <w:szCs w:val="24"/>
          <w:highlight w:val="none"/>
          <w:lang w:val="en-US" w:eastAsia="zh-CN"/>
        </w:rPr>
        <w:t>该仓</w:t>
      </w:r>
      <w:r>
        <w:rPr>
          <w:rFonts w:hint="eastAsia" w:ascii="宋体" w:hAnsi="宋体" w:eastAsia="宋体" w:cs="宋体"/>
          <w:i w:val="0"/>
          <w:iCs w:val="0"/>
          <w:caps w:val="0"/>
          <w:color w:val="auto"/>
          <w:spacing w:val="0"/>
          <w:sz w:val="24"/>
          <w:szCs w:val="24"/>
          <w:highlight w:val="none"/>
        </w:rPr>
        <w:t>两个及以上标的的按最低中标价计算）退还不足部分的货款。</w:t>
      </w:r>
    </w:p>
    <w:p w14:paraId="4A065AA9">
      <w:pPr>
        <w:keepNext w:val="0"/>
        <w:keepLines w:val="0"/>
        <w:pageBreakBefore w:val="0"/>
        <w:widowControl/>
        <w:shd w:val="clear"/>
        <w:kinsoku/>
        <w:wordWrap w:val="0"/>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i w:val="0"/>
          <w:iCs w:val="0"/>
          <w:caps w:val="0"/>
          <w:color w:val="auto"/>
          <w:spacing w:val="0"/>
          <w:sz w:val="24"/>
          <w:szCs w:val="24"/>
          <w:highlight w:val="none"/>
          <w:u w:val="single"/>
        </w:rPr>
      </w:pPr>
      <w:r>
        <w:rPr>
          <w:rFonts w:hint="eastAsia" w:ascii="宋体" w:hAnsi="宋体" w:eastAsia="宋体" w:cs="宋体"/>
          <w:i w:val="0"/>
          <w:iCs w:val="0"/>
          <w:caps w:val="0"/>
          <w:color w:val="auto"/>
          <w:spacing w:val="0"/>
          <w:sz w:val="24"/>
          <w:szCs w:val="24"/>
          <w:highlight w:val="none"/>
          <w:lang w:val="en-US" w:eastAsia="zh-CN"/>
        </w:rPr>
        <w:t>2、</w:t>
      </w:r>
      <w:r>
        <w:rPr>
          <w:rFonts w:hint="eastAsia" w:ascii="宋体" w:hAnsi="宋体" w:eastAsia="宋体" w:cs="宋体"/>
          <w:i w:val="0"/>
          <w:iCs w:val="0"/>
          <w:caps w:val="0"/>
          <w:color w:val="auto"/>
          <w:spacing w:val="0"/>
          <w:sz w:val="24"/>
          <w:szCs w:val="24"/>
          <w:highlight w:val="none"/>
        </w:rPr>
        <w:t>粮食溢余。该仓全部销售出清后，若乙方是最后提货完成的，足量提货后仍有溢余，则溢余部分由乙方按中标价格（如乙方竞得</w:t>
      </w:r>
      <w:r>
        <w:rPr>
          <w:rFonts w:hint="eastAsia" w:ascii="宋体" w:hAnsi="宋体" w:cs="宋体"/>
          <w:i w:val="0"/>
          <w:iCs w:val="0"/>
          <w:caps w:val="0"/>
          <w:color w:val="auto"/>
          <w:spacing w:val="0"/>
          <w:sz w:val="24"/>
          <w:szCs w:val="24"/>
          <w:highlight w:val="none"/>
          <w:lang w:val="en-US" w:eastAsia="zh-CN"/>
        </w:rPr>
        <w:t>该仓</w:t>
      </w:r>
      <w:r>
        <w:rPr>
          <w:rFonts w:hint="eastAsia" w:ascii="宋体" w:hAnsi="宋体" w:eastAsia="宋体" w:cs="宋体"/>
          <w:i w:val="0"/>
          <w:iCs w:val="0"/>
          <w:caps w:val="0"/>
          <w:color w:val="auto"/>
          <w:spacing w:val="0"/>
          <w:sz w:val="24"/>
          <w:szCs w:val="24"/>
          <w:highlight w:val="none"/>
        </w:rPr>
        <w:t>两个及以上标的的按最高中标价计算）提货，根据粮食溢余情况，提货截止日可适当延迟。</w:t>
      </w:r>
    </w:p>
    <w:p w14:paraId="168515B8">
      <w:pPr>
        <w:keepNext w:val="0"/>
        <w:keepLines w:val="0"/>
        <w:pageBreakBefore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六</w:t>
      </w:r>
      <w:r>
        <w:rPr>
          <w:rFonts w:hint="eastAsia" w:ascii="宋体" w:hAnsi="宋体" w:eastAsia="宋体" w:cs="Tahoma"/>
          <w:bCs w:val="0"/>
          <w:color w:val="auto"/>
          <w:sz w:val="24"/>
          <w:szCs w:val="24"/>
          <w:highlight w:val="none"/>
        </w:rPr>
        <w:t>、结算方式及结算期限</w:t>
      </w:r>
    </w:p>
    <w:p w14:paraId="03CF9A51">
      <w:pPr>
        <w:keepNext w:val="0"/>
        <w:keepLines w:val="0"/>
        <w:pageBreakBefore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Theme="minorEastAsia" w:hAnsiTheme="minorEastAsia" w:eastAsiaTheme="minorEastAsia" w:cstheme="minorEastAsia"/>
          <w:bCs w:val="0"/>
          <w:color w:val="auto"/>
          <w:sz w:val="24"/>
          <w:szCs w:val="24"/>
          <w:highlight w:val="none"/>
          <w:lang w:val="en-US" w:eastAsia="zh-CN"/>
        </w:rPr>
      </w:pPr>
      <w:r>
        <w:rPr>
          <w:rFonts w:hint="eastAsia" w:asciiTheme="minorEastAsia" w:hAnsiTheme="minorEastAsia" w:eastAsiaTheme="minorEastAsia" w:cstheme="minorEastAsia"/>
          <w:bCs w:val="0"/>
          <w:color w:val="auto"/>
          <w:sz w:val="24"/>
          <w:szCs w:val="24"/>
          <w:highlight w:val="none"/>
          <w:lang w:val="en-US" w:eastAsia="zh-CN"/>
        </w:rPr>
        <w:t>1</w:t>
      </w:r>
      <w:r>
        <w:rPr>
          <w:rFonts w:hint="eastAsia" w:asciiTheme="minorEastAsia" w:hAnsiTheme="minorEastAsia" w:eastAsiaTheme="minorEastAsia" w:cstheme="minorEastAsia"/>
          <w:bCs w:val="0"/>
          <w:color w:val="auto"/>
          <w:sz w:val="24"/>
          <w:szCs w:val="24"/>
          <w:highlight w:val="none"/>
          <w:lang w:eastAsia="zh-CN"/>
        </w:rPr>
        <w:t>、</w:t>
      </w:r>
      <w:r>
        <w:rPr>
          <w:rFonts w:hint="eastAsia" w:asciiTheme="minorEastAsia" w:hAnsiTheme="minorEastAsia" w:eastAsiaTheme="minorEastAsia" w:cstheme="minorEastAsia"/>
          <w:bCs w:val="0"/>
          <w:color w:val="auto"/>
          <w:sz w:val="24"/>
          <w:szCs w:val="24"/>
          <w:highlight w:val="none"/>
        </w:rPr>
        <w:t>结算方式：甲</w:t>
      </w:r>
      <w:r>
        <w:rPr>
          <w:rFonts w:hint="eastAsia" w:asciiTheme="minorEastAsia" w:hAnsiTheme="minorEastAsia" w:eastAsiaTheme="minorEastAsia" w:cstheme="minorEastAsia"/>
          <w:bCs w:val="0"/>
          <w:color w:val="auto"/>
          <w:sz w:val="24"/>
          <w:szCs w:val="24"/>
          <w:highlight w:val="none"/>
          <w:lang w:eastAsia="zh-CN"/>
        </w:rPr>
        <w:t>、</w:t>
      </w:r>
      <w:r>
        <w:rPr>
          <w:rFonts w:hint="eastAsia" w:asciiTheme="minorEastAsia" w:hAnsiTheme="minorEastAsia" w:eastAsiaTheme="minorEastAsia" w:cstheme="minorEastAsia"/>
          <w:bCs w:val="0"/>
          <w:color w:val="auto"/>
          <w:sz w:val="24"/>
          <w:szCs w:val="24"/>
          <w:highlight w:val="none"/>
        </w:rPr>
        <w:t>乙双方</w:t>
      </w:r>
      <w:r>
        <w:rPr>
          <w:rFonts w:hint="eastAsia" w:asciiTheme="minorEastAsia" w:hAnsiTheme="minorEastAsia" w:eastAsiaTheme="minorEastAsia" w:cstheme="minorEastAsia"/>
          <w:bCs w:val="0"/>
          <w:color w:val="auto"/>
          <w:sz w:val="24"/>
          <w:szCs w:val="24"/>
          <w:highlight w:val="none"/>
          <w:lang w:val="en-US" w:eastAsia="zh-CN"/>
        </w:rPr>
        <w:t>自行结算。</w:t>
      </w:r>
    </w:p>
    <w:p w14:paraId="480385E2">
      <w:pPr>
        <w:keepNext w:val="0"/>
        <w:keepLines w:val="0"/>
        <w:pageBreakBefore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Theme="minorEastAsia" w:hAnsiTheme="minorEastAsia" w:eastAsiaTheme="minorEastAsia" w:cstheme="minorEastAsia"/>
          <w:bCs w:val="0"/>
          <w:color w:val="auto"/>
          <w:sz w:val="24"/>
          <w:szCs w:val="24"/>
          <w:highlight w:val="none"/>
          <w:lang w:eastAsia="zh-CN"/>
        </w:rPr>
      </w:pPr>
      <w:r>
        <w:rPr>
          <w:rFonts w:hint="eastAsia" w:asciiTheme="minorEastAsia" w:hAnsiTheme="minorEastAsia" w:eastAsiaTheme="minorEastAsia" w:cstheme="minorEastAsia"/>
          <w:bCs w:val="0"/>
          <w:color w:val="auto"/>
          <w:sz w:val="24"/>
          <w:szCs w:val="24"/>
          <w:highlight w:val="none"/>
          <w:lang w:val="en-US" w:eastAsia="zh-CN"/>
        </w:rPr>
        <w:t>2</w:t>
      </w:r>
      <w:r>
        <w:rPr>
          <w:rFonts w:hint="eastAsia" w:asciiTheme="minorEastAsia" w:hAnsiTheme="minorEastAsia" w:eastAsiaTheme="minorEastAsia" w:cstheme="minorEastAsia"/>
          <w:bCs w:val="0"/>
          <w:color w:val="auto"/>
          <w:sz w:val="24"/>
          <w:szCs w:val="24"/>
          <w:highlight w:val="none"/>
          <w:lang w:eastAsia="zh-CN"/>
        </w:rPr>
        <w:t>、</w:t>
      </w:r>
      <w:r>
        <w:rPr>
          <w:rFonts w:hint="eastAsia" w:asciiTheme="minorEastAsia" w:hAnsiTheme="minorEastAsia" w:eastAsiaTheme="minorEastAsia" w:cstheme="minorEastAsia"/>
          <w:bCs w:val="0"/>
          <w:color w:val="auto"/>
          <w:sz w:val="24"/>
          <w:szCs w:val="24"/>
          <w:highlight w:val="none"/>
        </w:rPr>
        <w:t>结算期限：</w:t>
      </w:r>
      <w:r>
        <w:rPr>
          <w:rFonts w:hint="eastAsia" w:ascii="宋体" w:hAnsi="宋体" w:eastAsia="宋体" w:cs="宋体"/>
          <w:color w:val="auto"/>
          <w:sz w:val="24"/>
          <w:szCs w:val="24"/>
          <w:highlight w:val="none"/>
        </w:rPr>
        <w:t>先付款后提货</w:t>
      </w:r>
      <w:r>
        <w:rPr>
          <w:rFonts w:hint="eastAsia" w:ascii="宋体" w:hAnsi="宋体" w:cs="宋体"/>
          <w:color w:val="auto"/>
          <w:sz w:val="21"/>
          <w:szCs w:val="21"/>
          <w:highlight w:val="none"/>
          <w:lang w:eastAsia="zh-CN"/>
        </w:rPr>
        <w:t>，</w:t>
      </w:r>
      <w:r>
        <w:rPr>
          <w:rFonts w:hint="eastAsia" w:ascii="宋体" w:hAnsi="宋体" w:eastAsia="宋体" w:cs="宋体"/>
          <w:color w:val="auto"/>
          <w:sz w:val="24"/>
          <w:szCs w:val="24"/>
          <w:highlight w:val="none"/>
        </w:rPr>
        <w:t>并</w:t>
      </w:r>
      <w:r>
        <w:rPr>
          <w:rFonts w:hint="eastAsia" w:ascii="宋体" w:hAnsi="宋体" w:eastAsia="宋体" w:cs="宋体"/>
          <w:color w:val="auto"/>
          <w:sz w:val="24"/>
          <w:szCs w:val="24"/>
          <w:highlight w:val="none"/>
          <w:lang w:val="en-US" w:eastAsia="zh-CN"/>
        </w:rPr>
        <w:t>于</w:t>
      </w:r>
      <w:r>
        <w:rPr>
          <w:rFonts w:hint="eastAsia" w:asciiTheme="minorEastAsia" w:hAnsiTheme="minorEastAsia" w:eastAsiaTheme="minorEastAsia" w:cstheme="minorEastAsia"/>
          <w:bCs w:val="0"/>
          <w:color w:val="auto"/>
          <w:sz w:val="24"/>
          <w:szCs w:val="24"/>
          <w:highlight w:val="none"/>
          <w:u w:val="single"/>
        </w:rPr>
        <w:t>2025年</w:t>
      </w:r>
      <w:r>
        <w:rPr>
          <w:rFonts w:hint="eastAsia" w:asciiTheme="minorEastAsia" w:hAnsiTheme="minorEastAsia" w:eastAsiaTheme="minorEastAsia" w:cstheme="minorEastAsia"/>
          <w:bCs w:val="0"/>
          <w:color w:val="auto"/>
          <w:sz w:val="24"/>
          <w:szCs w:val="24"/>
          <w:highlight w:val="none"/>
          <w:u w:val="single"/>
          <w:lang w:val="en-US" w:eastAsia="zh-CN"/>
        </w:rPr>
        <w:t xml:space="preserve">  </w:t>
      </w:r>
      <w:r>
        <w:rPr>
          <w:rFonts w:hint="eastAsia" w:asciiTheme="minorEastAsia" w:hAnsiTheme="minorEastAsia" w:eastAsiaTheme="minorEastAsia" w:cstheme="minorEastAsia"/>
          <w:bCs w:val="0"/>
          <w:color w:val="auto"/>
          <w:sz w:val="24"/>
          <w:szCs w:val="24"/>
          <w:highlight w:val="none"/>
          <w:u w:val="single"/>
        </w:rPr>
        <w:t>月</w:t>
      </w:r>
      <w:r>
        <w:rPr>
          <w:rFonts w:hint="eastAsia" w:asciiTheme="minorEastAsia" w:hAnsiTheme="minorEastAsia" w:eastAsiaTheme="minorEastAsia" w:cstheme="minorEastAsia"/>
          <w:bCs w:val="0"/>
          <w:color w:val="auto"/>
          <w:sz w:val="24"/>
          <w:szCs w:val="24"/>
          <w:highlight w:val="none"/>
          <w:u w:val="single"/>
          <w:lang w:val="en-US" w:eastAsia="zh-CN"/>
        </w:rPr>
        <w:t xml:space="preserve">  </w:t>
      </w:r>
      <w:r>
        <w:rPr>
          <w:rFonts w:hint="eastAsia" w:asciiTheme="minorEastAsia" w:hAnsiTheme="minorEastAsia" w:eastAsiaTheme="minorEastAsia" w:cstheme="minorEastAsia"/>
          <w:bCs w:val="0"/>
          <w:color w:val="auto"/>
          <w:sz w:val="24"/>
          <w:szCs w:val="24"/>
          <w:highlight w:val="none"/>
          <w:u w:val="single"/>
        </w:rPr>
        <w:t>日</w:t>
      </w:r>
      <w:r>
        <w:rPr>
          <w:rFonts w:hint="eastAsia" w:asciiTheme="minorEastAsia" w:hAnsiTheme="minorEastAsia" w:eastAsiaTheme="minorEastAsia" w:cstheme="minorEastAsia"/>
          <w:bCs w:val="0"/>
          <w:color w:val="auto"/>
          <w:sz w:val="24"/>
          <w:szCs w:val="24"/>
          <w:highlight w:val="none"/>
          <w:u w:val="single"/>
          <w:lang w:val="en-US" w:eastAsia="zh-CN"/>
        </w:rPr>
        <w:t xml:space="preserve">  </w:t>
      </w:r>
      <w:r>
        <w:rPr>
          <w:rFonts w:hint="eastAsia" w:asciiTheme="minorEastAsia" w:hAnsiTheme="minorEastAsia" w:eastAsiaTheme="minorEastAsia" w:cstheme="minorEastAsia"/>
          <w:bCs w:val="0"/>
          <w:color w:val="auto"/>
          <w:sz w:val="24"/>
          <w:szCs w:val="24"/>
          <w:highlight w:val="none"/>
          <w:u w:val="none"/>
        </w:rPr>
        <w:t>前结清</w:t>
      </w:r>
      <w:r>
        <w:rPr>
          <w:rFonts w:hint="eastAsia" w:asciiTheme="minorEastAsia" w:hAnsiTheme="minorEastAsia" w:eastAsiaTheme="minorEastAsia" w:cstheme="minorEastAsia"/>
          <w:bCs w:val="0"/>
          <w:color w:val="auto"/>
          <w:sz w:val="24"/>
          <w:szCs w:val="24"/>
          <w:highlight w:val="none"/>
          <w:u w:val="none"/>
          <w:lang w:val="en-US" w:eastAsia="zh-CN"/>
        </w:rPr>
        <w:t>全部货款</w:t>
      </w:r>
      <w:r>
        <w:rPr>
          <w:rFonts w:hint="eastAsia" w:asciiTheme="minorEastAsia" w:hAnsiTheme="minorEastAsia" w:eastAsiaTheme="minorEastAsia" w:cstheme="minorEastAsia"/>
          <w:bCs w:val="0"/>
          <w:color w:val="auto"/>
          <w:sz w:val="24"/>
          <w:szCs w:val="24"/>
          <w:highlight w:val="none"/>
          <w:u w:val="none"/>
        </w:rPr>
        <w:t>，甲方收到货款后开具提货单，提货单的开具日期即为粮权转移日</w:t>
      </w:r>
      <w:r>
        <w:rPr>
          <w:rFonts w:hint="eastAsia" w:asciiTheme="minorEastAsia" w:hAnsiTheme="minorEastAsia" w:eastAsiaTheme="minorEastAsia" w:cstheme="minorEastAsia"/>
          <w:bCs w:val="0"/>
          <w:color w:val="auto"/>
          <w:sz w:val="24"/>
          <w:szCs w:val="24"/>
          <w:highlight w:val="none"/>
          <w:u w:val="none"/>
          <w:lang w:eastAsia="zh-CN"/>
        </w:rPr>
        <w:t>，</w:t>
      </w:r>
      <w:r>
        <w:rPr>
          <w:rFonts w:hint="eastAsia" w:asciiTheme="minorEastAsia" w:hAnsiTheme="minorEastAsia" w:eastAsiaTheme="minorEastAsia" w:cstheme="minorEastAsia"/>
          <w:bCs w:val="0"/>
          <w:color w:val="auto"/>
          <w:sz w:val="24"/>
          <w:szCs w:val="24"/>
          <w:highlight w:val="none"/>
          <w:u w:val="none"/>
        </w:rPr>
        <w:t>逾期不交货款的视为违约</w:t>
      </w:r>
      <w:r>
        <w:rPr>
          <w:rFonts w:hint="eastAsia" w:asciiTheme="minorEastAsia" w:hAnsiTheme="minorEastAsia" w:eastAsiaTheme="minorEastAsia" w:cstheme="minorEastAsia"/>
          <w:bCs w:val="0"/>
          <w:color w:val="auto"/>
          <w:sz w:val="24"/>
          <w:szCs w:val="24"/>
          <w:highlight w:val="none"/>
          <w:u w:val="none"/>
          <w:lang w:eastAsia="zh-CN"/>
        </w:rPr>
        <w:t>。</w:t>
      </w:r>
    </w:p>
    <w:p w14:paraId="54BE0134">
      <w:pPr>
        <w:keepNext w:val="0"/>
        <w:keepLines w:val="0"/>
        <w:pageBreakBefore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lang w:eastAsia="zh-CN"/>
        </w:rPr>
      </w:pPr>
      <w:r>
        <w:rPr>
          <w:rFonts w:hint="eastAsia" w:asciiTheme="minorEastAsia" w:hAnsiTheme="minorEastAsia" w:eastAsiaTheme="minorEastAsia" w:cstheme="minorEastAsia"/>
          <w:bCs w:val="0"/>
          <w:color w:val="auto"/>
          <w:sz w:val="24"/>
          <w:szCs w:val="24"/>
          <w:highlight w:val="none"/>
          <w:lang w:eastAsia="zh-CN"/>
        </w:rPr>
        <w:t>3、货款结算违约：</w:t>
      </w:r>
      <w:r>
        <w:rPr>
          <w:rFonts w:hint="eastAsia" w:asciiTheme="minorEastAsia" w:hAnsiTheme="minorEastAsia" w:eastAsiaTheme="minorEastAsia" w:cstheme="minorEastAsia"/>
          <w:bCs w:val="0"/>
          <w:color w:val="auto"/>
          <w:sz w:val="24"/>
          <w:szCs w:val="24"/>
          <w:highlight w:val="none"/>
          <w:lang w:val="en-US" w:eastAsia="zh-CN"/>
        </w:rPr>
        <w:t>将</w:t>
      </w:r>
      <w:r>
        <w:rPr>
          <w:rFonts w:hint="eastAsia" w:asciiTheme="minorEastAsia" w:hAnsiTheme="minorEastAsia" w:eastAsiaTheme="minorEastAsia" w:cstheme="minorEastAsia"/>
          <w:bCs w:val="0"/>
          <w:color w:val="auto"/>
          <w:sz w:val="24"/>
          <w:szCs w:val="24"/>
          <w:highlight w:val="none"/>
          <w:u w:val="none"/>
          <w:lang w:eastAsia="zh-CN"/>
        </w:rPr>
        <w:t>按</w:t>
      </w:r>
      <w:r>
        <w:rPr>
          <w:rFonts w:hint="eastAsia" w:asciiTheme="minorEastAsia" w:hAnsiTheme="minorEastAsia" w:eastAsiaTheme="minorEastAsia" w:cstheme="minorEastAsia"/>
          <w:bCs w:val="0"/>
          <w:color w:val="auto"/>
          <w:sz w:val="24"/>
          <w:szCs w:val="24"/>
          <w:highlight w:val="none"/>
          <w:u w:val="none"/>
          <w:lang w:val="en-US" w:eastAsia="zh-CN"/>
        </w:rPr>
        <w:t>照竞</w:t>
      </w:r>
      <w:r>
        <w:rPr>
          <w:rFonts w:hint="eastAsia" w:asciiTheme="minorEastAsia" w:hAnsiTheme="minorEastAsia" w:eastAsiaTheme="minorEastAsia" w:cstheme="minorEastAsia"/>
          <w:bCs w:val="0"/>
          <w:color w:val="auto"/>
          <w:sz w:val="24"/>
          <w:szCs w:val="24"/>
          <w:highlight w:val="none"/>
          <w:u w:val="none"/>
          <w:lang w:eastAsia="zh-CN"/>
        </w:rPr>
        <w:t>价公告、</w:t>
      </w:r>
      <w:r>
        <w:rPr>
          <w:rFonts w:hint="eastAsia" w:asciiTheme="minorEastAsia" w:hAnsiTheme="minorEastAsia" w:eastAsiaTheme="minorEastAsia" w:cstheme="minorEastAsia"/>
          <w:bCs w:val="0"/>
          <w:color w:val="auto"/>
          <w:sz w:val="24"/>
          <w:szCs w:val="24"/>
          <w:highlight w:val="none"/>
          <w:u w:val="none"/>
          <w:lang w:val="en-US" w:eastAsia="zh-CN"/>
        </w:rPr>
        <w:t>交割细则</w:t>
      </w:r>
      <w:r>
        <w:rPr>
          <w:rFonts w:hint="eastAsia" w:asciiTheme="minorEastAsia" w:hAnsiTheme="minorEastAsia" w:eastAsiaTheme="minorEastAsia" w:cstheme="minorEastAsia"/>
          <w:bCs w:val="0"/>
          <w:color w:val="auto"/>
          <w:sz w:val="24"/>
          <w:szCs w:val="24"/>
          <w:highlight w:val="none"/>
          <w:u w:val="none"/>
          <w:lang w:eastAsia="zh-CN"/>
        </w:rPr>
        <w:t>处理</w:t>
      </w:r>
      <w:r>
        <w:rPr>
          <w:rFonts w:hint="eastAsia" w:asciiTheme="minorEastAsia" w:hAnsiTheme="minorEastAsia" w:eastAsiaTheme="minorEastAsia" w:cstheme="minorEastAsia"/>
          <w:bCs w:val="0"/>
          <w:color w:val="auto"/>
          <w:sz w:val="24"/>
          <w:szCs w:val="24"/>
          <w:highlight w:val="none"/>
          <w:lang w:eastAsia="zh-CN"/>
        </w:rPr>
        <w:t>。</w:t>
      </w:r>
    </w:p>
    <w:p w14:paraId="3FBB626F">
      <w:pPr>
        <w:keepNext w:val="0"/>
        <w:keepLines w:val="0"/>
        <w:pageBreakBefore w:val="0"/>
        <w:widowControl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lang w:val="en-US" w:eastAsia="zh-CN"/>
        </w:rPr>
      </w:pPr>
    </w:p>
    <w:p w14:paraId="3CB400BD">
      <w:pPr>
        <w:keepNext w:val="0"/>
        <w:keepLines w:val="0"/>
        <w:pageBreakBefore w:val="0"/>
        <w:widowControl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lang w:val="en-US" w:eastAsia="zh-CN"/>
        </w:rPr>
      </w:pPr>
    </w:p>
    <w:p w14:paraId="3D18D9C9">
      <w:pPr>
        <w:keepNext w:val="0"/>
        <w:keepLines w:val="0"/>
        <w:pageBreakBefore w:val="0"/>
        <w:widowControl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lang w:val="en-US" w:eastAsia="zh-CN"/>
        </w:rPr>
      </w:pPr>
    </w:p>
    <w:p w14:paraId="1D499B8E">
      <w:pPr>
        <w:keepNext w:val="0"/>
        <w:keepLines w:val="0"/>
        <w:pageBreakBefore w:val="0"/>
        <w:widowControl w:val="0"/>
        <w:shd w:val="clear"/>
        <w:kinsoku/>
        <w:wordWrap w:val="0"/>
        <w:overflowPunct/>
        <w:topLinePunct w:val="0"/>
        <w:autoSpaceDE/>
        <w:autoSpaceDN/>
        <w:bidi w:val="0"/>
        <w:adjustRightInd/>
        <w:snapToGrid/>
        <w:spacing w:line="520" w:lineRule="exact"/>
        <w:ind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七</w:t>
      </w:r>
      <w:r>
        <w:rPr>
          <w:rFonts w:hint="eastAsia" w:ascii="宋体" w:hAnsi="宋体" w:eastAsia="宋体" w:cs="Tahoma"/>
          <w:bCs w:val="0"/>
          <w:color w:val="auto"/>
          <w:sz w:val="24"/>
          <w:szCs w:val="24"/>
          <w:highlight w:val="none"/>
        </w:rPr>
        <w:t>、交易保证金及违约责任</w:t>
      </w:r>
    </w:p>
    <w:p w14:paraId="466E8E4B">
      <w:pPr>
        <w:keepNext w:val="0"/>
        <w:keepLines w:val="0"/>
        <w:pageBreakBefore w:val="0"/>
        <w:widowControl w:val="0"/>
        <w:shd w:val="clear"/>
        <w:kinsoku/>
        <w:wordWrap w:val="0"/>
        <w:overflowPunct/>
        <w:topLinePunct w:val="0"/>
        <w:autoSpaceDE/>
        <w:autoSpaceDN/>
        <w:bidi w:val="0"/>
        <w:adjustRightInd/>
        <w:snapToGrid/>
        <w:spacing w:line="520" w:lineRule="exact"/>
        <w:ind w:firstLine="480" w:firstLineChars="200"/>
        <w:jc w:val="both"/>
        <w:textAlignment w:val="auto"/>
        <w:rPr>
          <w:rFonts w:hint="default" w:ascii="宋体" w:hAnsi="宋体" w:eastAsia="宋体" w:cs="Tahoma"/>
          <w:bCs w:val="0"/>
          <w:color w:val="auto"/>
          <w:sz w:val="24"/>
          <w:szCs w:val="24"/>
          <w:highlight w:val="none"/>
          <w:lang w:val="en-US" w:eastAsia="zh-CN"/>
        </w:rPr>
      </w:pPr>
      <w:r>
        <w:rPr>
          <w:rFonts w:hint="eastAsia" w:eastAsia="宋体"/>
          <w:bCs w:val="0"/>
          <w:color w:val="auto"/>
          <w:sz w:val="24"/>
          <w:szCs w:val="24"/>
          <w:highlight w:val="none"/>
        </w:rPr>
        <w:t>为确保合同的履行，乙方已向</w:t>
      </w:r>
      <w:r>
        <w:rPr>
          <w:rFonts w:hint="eastAsia" w:ascii="宋体" w:hAnsi="宋体"/>
          <w:color w:val="auto"/>
          <w:sz w:val="24"/>
          <w:szCs w:val="24"/>
          <w:highlight w:val="none"/>
          <w:u w:val="single"/>
          <w:lang w:val="en-US" w:eastAsia="zh-CN"/>
        </w:rPr>
        <w:t>国家粮食浙江交易中心</w:t>
      </w:r>
      <w:r>
        <w:rPr>
          <w:rFonts w:hint="eastAsia" w:eastAsia="宋体"/>
          <w:bCs w:val="0"/>
          <w:color w:val="auto"/>
          <w:sz w:val="24"/>
          <w:szCs w:val="24"/>
          <w:highlight w:val="none"/>
        </w:rPr>
        <w:t>交纳交易保证金。</w:t>
      </w:r>
      <w:r>
        <w:rPr>
          <w:rFonts w:hint="eastAsia" w:ascii="宋体" w:eastAsia="宋体"/>
          <w:bCs w:val="0"/>
          <w:color w:val="auto"/>
          <w:sz w:val="24"/>
          <w:szCs w:val="24"/>
          <w:highlight w:val="none"/>
        </w:rPr>
        <w:t>在合同履行期间，如发生违约情形，</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方授权</w:t>
      </w:r>
      <w:r>
        <w:rPr>
          <w:rFonts w:hint="eastAsia" w:ascii="宋体" w:hAnsi="宋体"/>
          <w:color w:val="auto"/>
          <w:sz w:val="24"/>
          <w:szCs w:val="24"/>
          <w:highlight w:val="none"/>
          <w:u w:val="single"/>
          <w:lang w:val="en-US" w:eastAsia="zh-CN"/>
        </w:rPr>
        <w:t>国家粮食浙江交易中心</w:t>
      </w:r>
      <w:r>
        <w:rPr>
          <w:rFonts w:hint="eastAsia" w:ascii="宋体" w:eastAsia="宋体"/>
          <w:bCs w:val="0"/>
          <w:color w:val="auto"/>
          <w:sz w:val="24"/>
          <w:szCs w:val="24"/>
          <w:highlight w:val="none"/>
        </w:rPr>
        <w:t>根据违约情况，扣除违约方交易保证金支付给</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w:t>
      </w:r>
      <w:r>
        <w:rPr>
          <w:rFonts w:hint="eastAsia" w:ascii="宋体"/>
          <w:bCs w:val="0"/>
          <w:color w:val="auto"/>
          <w:sz w:val="24"/>
          <w:szCs w:val="24"/>
          <w:highlight w:val="none"/>
          <w:lang w:eastAsia="zh-CN"/>
        </w:rPr>
        <w:t>，</w:t>
      </w:r>
      <w:r>
        <w:rPr>
          <w:rFonts w:hint="eastAsia" w:ascii="宋体"/>
          <w:bCs w:val="0"/>
          <w:color w:val="auto"/>
          <w:sz w:val="24"/>
          <w:szCs w:val="24"/>
          <w:highlight w:val="none"/>
          <w:lang w:val="en-US" w:eastAsia="zh-CN"/>
        </w:rPr>
        <w:t>或由甲、乙双方自行结算处理</w:t>
      </w:r>
      <w:r>
        <w:rPr>
          <w:rFonts w:hint="eastAsia" w:ascii="宋体" w:eastAsia="宋体"/>
          <w:bCs w:val="0"/>
          <w:color w:val="auto"/>
          <w:sz w:val="24"/>
          <w:szCs w:val="24"/>
          <w:highlight w:val="none"/>
        </w:rPr>
        <w:t>。违约金超过交易保证金的，超过部分</w:t>
      </w:r>
      <w:r>
        <w:rPr>
          <w:rFonts w:hint="eastAsia" w:ascii="宋体"/>
          <w:bCs w:val="0"/>
          <w:color w:val="auto"/>
          <w:sz w:val="24"/>
          <w:szCs w:val="24"/>
          <w:highlight w:val="none"/>
          <w:lang w:val="en-US" w:eastAsia="zh-CN"/>
        </w:rPr>
        <w:t>将</w:t>
      </w:r>
      <w:r>
        <w:rPr>
          <w:rFonts w:hint="eastAsia" w:ascii="宋体" w:eastAsia="宋体"/>
          <w:bCs w:val="0"/>
          <w:color w:val="auto"/>
          <w:sz w:val="24"/>
          <w:szCs w:val="24"/>
          <w:highlight w:val="none"/>
        </w:rPr>
        <w:t>按</w:t>
      </w:r>
      <w:r>
        <w:rPr>
          <w:rFonts w:hint="eastAsia" w:ascii="宋体"/>
          <w:bCs w:val="0"/>
          <w:color w:val="auto"/>
          <w:sz w:val="24"/>
          <w:szCs w:val="24"/>
          <w:highlight w:val="none"/>
          <w:lang w:val="en-US" w:eastAsia="zh-CN"/>
        </w:rPr>
        <w:t>照</w:t>
      </w:r>
      <w:r>
        <w:rPr>
          <w:rFonts w:hint="eastAsia" w:ascii="宋体" w:eastAsia="宋体"/>
          <w:bCs w:val="0"/>
          <w:color w:val="auto"/>
          <w:sz w:val="24"/>
          <w:szCs w:val="24"/>
          <w:highlight w:val="none"/>
        </w:rPr>
        <w:t>《中华人民共和国</w:t>
      </w:r>
      <w:r>
        <w:rPr>
          <w:rFonts w:hint="eastAsia" w:ascii="宋体" w:hAnsi="宋体"/>
          <w:color w:val="auto"/>
          <w:sz w:val="24"/>
          <w:szCs w:val="24"/>
          <w:highlight w:val="none"/>
        </w:rPr>
        <w:t>民法典</w:t>
      </w:r>
      <w:r>
        <w:rPr>
          <w:rFonts w:hint="eastAsia" w:ascii="宋体" w:eastAsia="宋体"/>
          <w:bCs w:val="0"/>
          <w:color w:val="auto"/>
          <w:sz w:val="24"/>
          <w:szCs w:val="24"/>
          <w:highlight w:val="none"/>
        </w:rPr>
        <w:t>》</w:t>
      </w:r>
      <w:r>
        <w:rPr>
          <w:rFonts w:hint="eastAsia" w:ascii="宋体" w:hAnsi="宋体" w:eastAsia="宋体" w:cs="Tahoma"/>
          <w:bCs w:val="0"/>
          <w:color w:val="auto"/>
          <w:sz w:val="24"/>
          <w:szCs w:val="24"/>
          <w:highlight w:val="none"/>
          <w:lang w:val="en-US" w:eastAsia="zh-CN"/>
        </w:rPr>
        <w:t>相关规定</w:t>
      </w:r>
      <w:r>
        <w:rPr>
          <w:rFonts w:hint="eastAsia" w:ascii="宋体" w:hAnsi="宋体" w:cs="Tahoma"/>
          <w:bCs w:val="0"/>
          <w:color w:val="auto"/>
          <w:sz w:val="24"/>
          <w:szCs w:val="24"/>
          <w:highlight w:val="none"/>
          <w:lang w:val="en-US" w:eastAsia="zh-CN"/>
        </w:rPr>
        <w:t>或</w:t>
      </w:r>
      <w:r>
        <w:rPr>
          <w:rFonts w:hint="eastAsia" w:ascii="宋体" w:eastAsia="宋体"/>
          <w:bCs w:val="0"/>
          <w:color w:val="auto"/>
          <w:sz w:val="24"/>
          <w:szCs w:val="24"/>
          <w:highlight w:val="none"/>
        </w:rPr>
        <w:t>通过其</w:t>
      </w:r>
      <w:r>
        <w:rPr>
          <w:rFonts w:hint="eastAsia" w:ascii="宋体"/>
          <w:bCs w:val="0"/>
          <w:color w:val="auto"/>
          <w:sz w:val="24"/>
          <w:szCs w:val="24"/>
          <w:highlight w:val="none"/>
          <w:lang w:val="en-US" w:eastAsia="zh-CN"/>
        </w:rPr>
        <w:t>他</w:t>
      </w:r>
      <w:r>
        <w:rPr>
          <w:rFonts w:hint="eastAsia" w:ascii="宋体" w:eastAsia="宋体"/>
          <w:bCs w:val="0"/>
          <w:color w:val="auto"/>
          <w:sz w:val="24"/>
          <w:szCs w:val="24"/>
          <w:highlight w:val="none"/>
        </w:rPr>
        <w:t>途径另行处理。</w:t>
      </w:r>
    </w:p>
    <w:p w14:paraId="3824E14F">
      <w:pPr>
        <w:keepNext w:val="0"/>
        <w:keepLines w:val="0"/>
        <w:pageBreakBefore w:val="0"/>
        <w:numPr>
          <w:ilvl w:val="0"/>
          <w:numId w:val="1"/>
        </w:numPr>
        <w:shd w:val="clear"/>
        <w:kinsoku/>
        <w:overflowPunct/>
        <w:topLinePunct w:val="0"/>
        <w:autoSpaceDE/>
        <w:autoSpaceDN/>
        <w:bidi w:val="0"/>
        <w:adjustRightInd/>
        <w:snapToGrid/>
        <w:spacing w:line="520" w:lineRule="exact"/>
        <w:ind w:firstLine="480"/>
        <w:textAlignment w:val="auto"/>
        <w:rPr>
          <w:rFonts w:hint="default"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合同终止</w:t>
      </w:r>
    </w:p>
    <w:p w14:paraId="44D1FAFD">
      <w:pPr>
        <w:keepNext w:val="0"/>
        <w:keepLines w:val="0"/>
        <w:pageBreakBefore w:val="0"/>
        <w:numPr>
          <w:ilvl w:val="0"/>
          <w:numId w:val="0"/>
        </w:numPr>
        <w:shd w:val="clear"/>
        <w:kinsoku/>
        <w:overflowPunct/>
        <w:topLinePunct w:val="0"/>
        <w:autoSpaceDE/>
        <w:autoSpaceDN/>
        <w:bidi w:val="0"/>
        <w:adjustRightInd/>
        <w:snapToGrid/>
        <w:spacing w:line="520" w:lineRule="exact"/>
        <w:ind w:firstLine="480" w:firstLineChars="200"/>
        <w:textAlignment w:val="auto"/>
        <w:rPr>
          <w:rFonts w:hint="default"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本合同因履行期限届满而自然终止。</w:t>
      </w:r>
      <w:r>
        <w:rPr>
          <w:rFonts w:hint="eastAsia" w:ascii="宋体" w:hAnsi="宋体" w:cs="Tahoma"/>
          <w:bCs w:val="0"/>
          <w:color w:val="auto"/>
          <w:sz w:val="24"/>
          <w:szCs w:val="24"/>
          <w:highlight w:val="none"/>
          <w:lang w:val="en-US" w:eastAsia="zh-CN"/>
        </w:rPr>
        <w:t>在</w:t>
      </w:r>
      <w:r>
        <w:rPr>
          <w:rFonts w:hint="eastAsia" w:ascii="宋体" w:hAnsi="宋体" w:eastAsia="宋体" w:cs="Tahoma"/>
          <w:bCs w:val="0"/>
          <w:color w:val="auto"/>
          <w:sz w:val="24"/>
          <w:szCs w:val="24"/>
          <w:highlight w:val="none"/>
          <w:lang w:val="en-US" w:eastAsia="zh-CN"/>
        </w:rPr>
        <w:t>乙方提货完成后，甲</w:t>
      </w:r>
      <w:r>
        <w:rPr>
          <w:rFonts w:hint="eastAsia" w:ascii="宋体" w:hAnsi="宋体" w:cs="Tahoma"/>
          <w:bCs w:val="0"/>
          <w:color w:val="auto"/>
          <w:sz w:val="24"/>
          <w:szCs w:val="24"/>
          <w:highlight w:val="none"/>
          <w:lang w:val="en-US" w:eastAsia="zh-CN"/>
        </w:rPr>
        <w:t>、乙双</w:t>
      </w:r>
      <w:r>
        <w:rPr>
          <w:rFonts w:hint="eastAsia" w:ascii="宋体" w:hAnsi="宋体" w:eastAsia="宋体" w:cs="Tahoma"/>
          <w:bCs w:val="0"/>
          <w:color w:val="auto"/>
          <w:sz w:val="24"/>
          <w:szCs w:val="24"/>
          <w:highlight w:val="none"/>
          <w:lang w:val="en-US" w:eastAsia="zh-CN"/>
        </w:rPr>
        <w:t>方</w:t>
      </w:r>
      <w:r>
        <w:rPr>
          <w:rFonts w:hint="eastAsia" w:ascii="宋体" w:hAnsi="宋体" w:cs="Tahoma"/>
          <w:bCs w:val="0"/>
          <w:color w:val="auto"/>
          <w:sz w:val="24"/>
          <w:szCs w:val="24"/>
          <w:highlight w:val="none"/>
          <w:lang w:val="en-US" w:eastAsia="zh-CN"/>
        </w:rPr>
        <w:t>完成相关款项的结算后</w:t>
      </w:r>
      <w:r>
        <w:rPr>
          <w:rFonts w:hint="eastAsia" w:ascii="宋体" w:hAnsi="宋体" w:eastAsia="宋体" w:cs="Tahoma"/>
          <w:bCs w:val="0"/>
          <w:color w:val="auto"/>
          <w:sz w:val="24"/>
          <w:szCs w:val="24"/>
          <w:highlight w:val="none"/>
          <w:lang w:val="en-US" w:eastAsia="zh-CN"/>
        </w:rPr>
        <w:t>，通知网上粮食交易市场退还剩余履约保证金（不计息）。</w:t>
      </w:r>
    </w:p>
    <w:p w14:paraId="3AFD9CC5">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九</w:t>
      </w:r>
      <w:r>
        <w:rPr>
          <w:rFonts w:hint="eastAsia" w:ascii="宋体" w:hAnsi="宋体" w:eastAsia="宋体" w:cs="Tahoma"/>
          <w:bCs w:val="0"/>
          <w:color w:val="auto"/>
          <w:sz w:val="24"/>
          <w:szCs w:val="24"/>
          <w:highlight w:val="none"/>
        </w:rPr>
        <w:t>、其它</w:t>
      </w:r>
      <w:r>
        <w:rPr>
          <w:rFonts w:hint="eastAsia" w:ascii="宋体" w:hAnsi="宋体" w:eastAsia="宋体" w:cs="Tahoma"/>
          <w:bCs w:val="0"/>
          <w:color w:val="auto"/>
          <w:sz w:val="24"/>
          <w:szCs w:val="24"/>
          <w:highlight w:val="none"/>
          <w:lang w:val="en-US" w:eastAsia="zh-CN"/>
        </w:rPr>
        <w:t>说明</w:t>
      </w:r>
    </w:p>
    <w:p w14:paraId="6968D1E1">
      <w:pPr>
        <w:keepNext w:val="0"/>
        <w:keepLines w:val="0"/>
        <w:pageBreakBefore w:val="0"/>
        <w:shd w:val="clear"/>
        <w:kinsoku/>
        <w:overflowPunct/>
        <w:topLinePunct w:val="0"/>
        <w:autoSpaceDE/>
        <w:autoSpaceDN/>
        <w:bidi w:val="0"/>
        <w:adjustRightInd/>
        <w:snapToGrid/>
        <w:spacing w:line="360" w:lineRule="auto"/>
        <w:ind w:firstLine="480" w:firstLineChars="200"/>
        <w:textAlignment w:val="auto"/>
        <w:rPr>
          <w:rFonts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1</w:t>
      </w:r>
      <w:r>
        <w:rPr>
          <w:rFonts w:hint="eastAsia" w:ascii="宋体" w:hAnsi="宋体" w:eastAsia="宋体" w:cs="Tahoma"/>
          <w:bCs w:val="0"/>
          <w:color w:val="auto"/>
          <w:sz w:val="24"/>
          <w:szCs w:val="24"/>
          <w:highlight w:val="none"/>
        </w:rPr>
        <w:t>、交易纠纷的解决方式：本合同在履行过程中发生的争议，由甲</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乙双方协商解决</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也可由</w:t>
      </w:r>
      <w:r>
        <w:rPr>
          <w:rFonts w:hint="eastAsia" w:ascii="宋体" w:hAnsi="宋体"/>
          <w:color w:val="auto"/>
          <w:sz w:val="24"/>
          <w:szCs w:val="24"/>
          <w:highlight w:val="none"/>
          <w:u w:val="single"/>
          <w:lang w:val="en-US" w:eastAsia="zh-CN"/>
        </w:rPr>
        <w:t>国家粮食浙江交易中心</w:t>
      </w:r>
      <w:r>
        <w:rPr>
          <w:rFonts w:hint="eastAsia" w:ascii="宋体" w:hAnsi="宋体" w:eastAsia="宋体" w:cs="Tahoma"/>
          <w:bCs w:val="0"/>
          <w:color w:val="auto"/>
          <w:sz w:val="24"/>
          <w:szCs w:val="24"/>
          <w:highlight w:val="none"/>
        </w:rPr>
        <w:t>调解</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协商或调解不成的，</w:t>
      </w:r>
      <w:r>
        <w:rPr>
          <w:rFonts w:hint="eastAsia" w:ascii="宋体" w:hAnsi="宋体" w:eastAsia="宋体" w:cs="Tahoma"/>
          <w:bCs w:val="0"/>
          <w:color w:val="auto"/>
          <w:sz w:val="24"/>
          <w:szCs w:val="24"/>
          <w:highlight w:val="none"/>
          <w:lang w:val="en-US" w:eastAsia="zh-CN"/>
        </w:rPr>
        <w:t>由甲方所在地人民法院</w:t>
      </w:r>
      <w:r>
        <w:rPr>
          <w:rFonts w:hint="eastAsia" w:ascii="宋体" w:hAnsi="宋体" w:eastAsia="宋体" w:cs="Tahoma"/>
          <w:bCs w:val="0"/>
          <w:color w:val="auto"/>
          <w:sz w:val="24"/>
          <w:szCs w:val="24"/>
          <w:highlight w:val="none"/>
        </w:rPr>
        <w:t>通过司法程序解决。</w:t>
      </w:r>
    </w:p>
    <w:p w14:paraId="038229DE">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2</w:t>
      </w:r>
      <w:r>
        <w:rPr>
          <w:rFonts w:hint="eastAsia" w:ascii="宋体" w:hAnsi="宋体" w:eastAsia="宋体" w:cs="Tahoma"/>
          <w:bCs w:val="0"/>
          <w:color w:val="auto"/>
          <w:sz w:val="24"/>
          <w:szCs w:val="24"/>
          <w:highlight w:val="none"/>
        </w:rPr>
        <w:t>、本合同未尽事宜，按网上粮食交易市场的有关规定执行。</w:t>
      </w:r>
    </w:p>
    <w:p w14:paraId="4B2DE2FA">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3、甲方提供正式发票，有关印花税等税款按国家有关规定由各自自行缴纳。</w:t>
      </w:r>
    </w:p>
    <w:p w14:paraId="7A99669E">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default" w:ascii="宋体" w:hAnsi="宋体" w:eastAsia="宋体"/>
          <w:bCs w:val="0"/>
          <w:color w:val="auto"/>
          <w:sz w:val="24"/>
          <w:szCs w:val="24"/>
          <w:highlight w:val="none"/>
          <w:lang w:val="en-US" w:eastAsia="zh-CN"/>
        </w:rPr>
      </w:pPr>
      <w:r>
        <w:rPr>
          <w:rFonts w:hint="eastAsia" w:ascii="宋体" w:hAnsi="宋体" w:eastAsia="宋体"/>
          <w:bCs w:val="0"/>
          <w:color w:val="auto"/>
          <w:sz w:val="24"/>
          <w:szCs w:val="24"/>
          <w:highlight w:val="none"/>
          <w:lang w:val="en-US" w:eastAsia="zh-CN"/>
        </w:rPr>
        <w:t>十</w:t>
      </w:r>
      <w:r>
        <w:rPr>
          <w:rFonts w:hint="eastAsia" w:ascii="宋体" w:hAnsi="宋体" w:eastAsia="宋体"/>
          <w:bCs w:val="0"/>
          <w:color w:val="auto"/>
          <w:sz w:val="24"/>
          <w:szCs w:val="24"/>
          <w:highlight w:val="none"/>
        </w:rPr>
        <w:t>、</w:t>
      </w:r>
      <w:r>
        <w:rPr>
          <w:rFonts w:hint="eastAsia" w:ascii="宋体" w:hAnsi="宋体" w:eastAsia="宋体"/>
          <w:bCs w:val="0"/>
          <w:color w:val="auto"/>
          <w:sz w:val="24"/>
          <w:szCs w:val="24"/>
          <w:highlight w:val="none"/>
          <w:lang w:val="en-US" w:eastAsia="zh-CN"/>
        </w:rPr>
        <w:t>其它</w:t>
      </w:r>
    </w:p>
    <w:p w14:paraId="37FB62D1">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1、</w:t>
      </w:r>
      <w:r>
        <w:rPr>
          <w:rFonts w:hint="eastAsia" w:ascii="宋体" w:hAnsi="宋体" w:eastAsia="宋体"/>
          <w:bCs w:val="0"/>
          <w:color w:val="auto"/>
          <w:sz w:val="24"/>
          <w:szCs w:val="24"/>
          <w:highlight w:val="none"/>
        </w:rPr>
        <w:t>本合同自甲</w:t>
      </w:r>
      <w:r>
        <w:rPr>
          <w:rFonts w:hint="eastAsia" w:ascii="宋体" w:hAnsi="宋体" w:eastAsia="宋体"/>
          <w:bCs w:val="0"/>
          <w:color w:val="auto"/>
          <w:sz w:val="24"/>
          <w:szCs w:val="24"/>
          <w:highlight w:val="none"/>
          <w:lang w:eastAsia="zh-CN"/>
        </w:rPr>
        <w:t>、</w:t>
      </w:r>
      <w:r>
        <w:rPr>
          <w:rFonts w:hint="eastAsia" w:ascii="宋体" w:hAnsi="宋体" w:eastAsia="宋体"/>
          <w:bCs w:val="0"/>
          <w:color w:val="auto"/>
          <w:sz w:val="24"/>
          <w:szCs w:val="24"/>
          <w:highlight w:val="none"/>
        </w:rPr>
        <w:t>乙双方法定代表人（或委托代理人）签字及单位盖章后生效。</w:t>
      </w:r>
    </w:p>
    <w:p w14:paraId="09477C7E">
      <w:pPr>
        <w:keepNext w:val="0"/>
        <w:keepLines w:val="0"/>
        <w:pageBreakBefore w:val="0"/>
        <w:shd w:val="clear"/>
        <w:kinsoku/>
        <w:overflowPunct/>
        <w:topLinePunct w:val="0"/>
        <w:autoSpaceDE/>
        <w:autoSpaceDN/>
        <w:bidi w:val="0"/>
        <w:adjustRightInd/>
        <w:snapToGrid/>
        <w:spacing w:line="520" w:lineRule="exact"/>
        <w:ind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2</w:t>
      </w:r>
      <w:r>
        <w:rPr>
          <w:rFonts w:hint="eastAsia" w:ascii="宋体" w:hAnsi="宋体" w:eastAsia="宋体"/>
          <w:bCs w:val="0"/>
          <w:color w:val="auto"/>
          <w:sz w:val="24"/>
          <w:szCs w:val="24"/>
          <w:highlight w:val="none"/>
        </w:rPr>
        <w:t>、</w:t>
      </w:r>
      <w:r>
        <w:rPr>
          <w:rFonts w:ascii="宋体" w:hAnsi="宋体" w:eastAsia="宋体"/>
          <w:bCs w:val="0"/>
          <w:color w:val="auto"/>
          <w:sz w:val="24"/>
          <w:szCs w:val="24"/>
          <w:highlight w:val="none"/>
        </w:rPr>
        <w:t>本</w:t>
      </w:r>
      <w:r>
        <w:rPr>
          <w:rFonts w:ascii="宋体" w:hAnsi="宋体" w:eastAsia="宋体"/>
          <w:bCs w:val="0"/>
          <w:color w:val="auto"/>
          <w:sz w:val="24"/>
          <w:szCs w:val="24"/>
          <w:highlight w:val="none"/>
        </w:rPr>
        <w:fldChar w:fldCharType="begin"/>
      </w:r>
      <w:r>
        <w:rPr>
          <w:rFonts w:ascii="宋体" w:hAnsi="宋体" w:eastAsia="宋体"/>
          <w:bCs w:val="0"/>
          <w:color w:val="auto"/>
          <w:sz w:val="24"/>
          <w:szCs w:val="24"/>
          <w:highlight w:val="none"/>
        </w:rPr>
        <w:instrText xml:space="preserve"> HYPERLINK "http://www.86exp.com/hetong/" </w:instrText>
      </w:r>
      <w:r>
        <w:rPr>
          <w:rFonts w:ascii="宋体" w:hAnsi="宋体" w:eastAsia="宋体"/>
          <w:bCs w:val="0"/>
          <w:color w:val="auto"/>
          <w:sz w:val="24"/>
          <w:szCs w:val="24"/>
          <w:highlight w:val="none"/>
        </w:rPr>
        <w:fldChar w:fldCharType="separate"/>
      </w:r>
      <w:r>
        <w:rPr>
          <w:rFonts w:ascii="宋体" w:hAnsi="宋体" w:eastAsia="宋体"/>
          <w:bCs w:val="0"/>
          <w:color w:val="auto"/>
          <w:sz w:val="24"/>
          <w:szCs w:val="24"/>
          <w:highlight w:val="none"/>
        </w:rPr>
        <w:t>合同</w:t>
      </w:r>
      <w:r>
        <w:rPr>
          <w:rFonts w:ascii="宋体" w:hAnsi="宋体" w:eastAsia="宋体"/>
          <w:bCs w:val="0"/>
          <w:color w:val="auto"/>
          <w:sz w:val="24"/>
          <w:szCs w:val="24"/>
          <w:highlight w:val="none"/>
        </w:rPr>
        <w:fldChar w:fldCharType="end"/>
      </w:r>
      <w:r>
        <w:rPr>
          <w:rFonts w:ascii="宋体" w:hAnsi="宋体" w:eastAsia="宋体"/>
          <w:bCs w:val="0"/>
          <w:color w:val="auto"/>
          <w:sz w:val="24"/>
          <w:szCs w:val="24"/>
          <w:highlight w:val="none"/>
        </w:rPr>
        <w:t>一式</w:t>
      </w:r>
      <w:r>
        <w:rPr>
          <w:rFonts w:hint="eastAsia" w:ascii="宋体" w:hAnsi="宋体" w:eastAsia="宋体"/>
          <w:bCs w:val="0"/>
          <w:color w:val="auto"/>
          <w:sz w:val="24"/>
          <w:szCs w:val="24"/>
          <w:highlight w:val="none"/>
        </w:rPr>
        <w:t>二</w:t>
      </w:r>
      <w:r>
        <w:rPr>
          <w:rFonts w:ascii="宋体" w:hAnsi="宋体" w:eastAsia="宋体"/>
          <w:bCs w:val="0"/>
          <w:color w:val="auto"/>
          <w:sz w:val="24"/>
          <w:szCs w:val="24"/>
          <w:highlight w:val="none"/>
        </w:rPr>
        <w:t>份，</w:t>
      </w:r>
      <w:r>
        <w:rPr>
          <w:rFonts w:hint="eastAsia" w:ascii="宋体" w:hAnsi="宋体" w:eastAsia="宋体"/>
          <w:bCs w:val="0"/>
          <w:color w:val="auto"/>
          <w:sz w:val="24"/>
          <w:szCs w:val="24"/>
          <w:highlight w:val="none"/>
          <w:lang w:val="en-US" w:eastAsia="zh-CN"/>
        </w:rPr>
        <w:t>甲、乙</w:t>
      </w:r>
      <w:r>
        <w:rPr>
          <w:rFonts w:ascii="宋体" w:hAnsi="宋体" w:eastAsia="宋体"/>
          <w:bCs w:val="0"/>
          <w:color w:val="auto"/>
          <w:sz w:val="24"/>
          <w:szCs w:val="24"/>
          <w:highlight w:val="none"/>
        </w:rPr>
        <w:t>双方各执</w:t>
      </w:r>
      <w:r>
        <w:rPr>
          <w:rFonts w:hint="eastAsia" w:ascii="宋体" w:hAnsi="宋体" w:eastAsia="宋体"/>
          <w:bCs w:val="0"/>
          <w:color w:val="auto"/>
          <w:sz w:val="24"/>
          <w:szCs w:val="24"/>
          <w:highlight w:val="none"/>
        </w:rPr>
        <w:t>一</w:t>
      </w:r>
      <w:r>
        <w:rPr>
          <w:rFonts w:ascii="宋体" w:hAnsi="宋体" w:eastAsia="宋体"/>
          <w:bCs w:val="0"/>
          <w:color w:val="auto"/>
          <w:sz w:val="24"/>
          <w:szCs w:val="24"/>
          <w:highlight w:val="none"/>
        </w:rPr>
        <w:t>份。</w:t>
      </w:r>
    </w:p>
    <w:p w14:paraId="2E054147">
      <w:pPr>
        <w:keepNext w:val="0"/>
        <w:keepLines w:val="0"/>
        <w:pageBreakBefore w:val="0"/>
        <w:shd w:val="clear"/>
        <w:kinsoku/>
        <w:wordWrap w:val="0"/>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甲方（盖章）:</w:t>
      </w:r>
      <w:r>
        <w:rPr>
          <w:rFonts w:hint="eastAsia" w:ascii="宋体" w:hAnsi="宋体" w:eastAsia="宋体" w:cs="Verdana"/>
          <w:bCs w:val="0"/>
          <w:color w:val="auto"/>
          <w:sz w:val="24"/>
          <w:szCs w:val="24"/>
          <w:highlight w:val="none"/>
          <w:u w:val="single"/>
        </w:rPr>
        <w:t>永嘉县粮食收储有限公司</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乙方（盖章）：</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0C5A3C4D">
      <w:pPr>
        <w:keepNext w:val="0"/>
        <w:keepLines w:val="0"/>
        <w:pageBreakBefore w:val="0"/>
        <w:shd w:val="clear"/>
        <w:kinsoku/>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法定(委托)代表人：</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法定代表人：</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rPr>
        <w:t xml:space="preserve"> </w:t>
      </w:r>
      <w:r>
        <w:rPr>
          <w:rFonts w:hint="eastAsia" w:ascii="宋体" w:hAnsi="宋体" w:eastAsia="宋体" w:cs="Tahoma"/>
          <w:bCs w:val="0"/>
          <w:color w:val="auto"/>
          <w:sz w:val="24"/>
          <w:szCs w:val="24"/>
          <w:highlight w:val="none"/>
        </w:rPr>
        <w:t>；</w:t>
      </w:r>
    </w:p>
    <w:p w14:paraId="6A1B7FED">
      <w:pPr>
        <w:keepNext w:val="0"/>
        <w:keepLines w:val="0"/>
        <w:pageBreakBefore w:val="0"/>
        <w:widowControl w:val="0"/>
        <w:shd w:val="clear"/>
        <w:kinsoku/>
        <w:wordWrap w:val="0"/>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农发行温州市分行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3E941A23">
      <w:pPr>
        <w:keepNext w:val="0"/>
        <w:keepLines w:val="0"/>
        <w:pageBreakBefore w:val="0"/>
        <w:shd w:val="clear"/>
        <w:kinsoku/>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20333039900100000013531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71400E1F">
      <w:pPr>
        <w:keepNext w:val="0"/>
        <w:keepLines w:val="0"/>
        <w:pageBreakBefore w:val="0"/>
        <w:shd w:val="clear"/>
        <w:kinsoku/>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u w:val="none"/>
        </w:rPr>
      </w:pPr>
      <w:r>
        <w:rPr>
          <w:rFonts w:hint="eastAsia" w:ascii="宋体" w:hAnsi="宋体" w:eastAsia="宋体"/>
          <w:bCs w:val="0"/>
          <w:color w:val="auto"/>
          <w:sz w:val="24"/>
          <w:szCs w:val="24"/>
          <w:highlight w:val="none"/>
        </w:rPr>
        <w:t>单位地址</w:t>
      </w:r>
      <w:r>
        <w:rPr>
          <w:rFonts w:hint="eastAsia" w:ascii="宋体" w:hAnsi="宋体" w:eastAsia="宋体"/>
          <w:bCs w:val="0"/>
          <w:color w:val="auto"/>
          <w:sz w:val="24"/>
          <w:szCs w:val="24"/>
          <w:highlight w:val="none"/>
          <w:u w:val="none"/>
        </w:rPr>
        <w:t>：</w:t>
      </w:r>
      <w:r>
        <w:rPr>
          <w:rFonts w:hint="eastAsia" w:ascii="宋体" w:hAnsi="宋体" w:eastAsia="宋体" w:cs="Verdana"/>
          <w:bCs w:val="0"/>
          <w:color w:val="auto"/>
          <w:sz w:val="24"/>
          <w:szCs w:val="24"/>
          <w:highlight w:val="none"/>
          <w:u w:val="single"/>
        </w:rPr>
        <w:t>永嘉县桥下镇粮食储备库</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；单位地</w:t>
      </w:r>
      <w:r>
        <w:rPr>
          <w:rFonts w:hint="eastAsia" w:ascii="宋体" w:hAnsi="宋体" w:eastAsia="宋体"/>
          <w:bCs w:val="0"/>
          <w:color w:val="auto"/>
          <w:sz w:val="24"/>
          <w:szCs w:val="24"/>
          <w:highlight w:val="none"/>
          <w:u w:val="none"/>
        </w:rPr>
        <w:t>址</w:t>
      </w:r>
      <w:r>
        <w:rPr>
          <w:rFonts w:hint="eastAsia" w:ascii="宋体" w:hAnsi="宋体" w:eastAsia="宋体"/>
          <w:bCs w:val="0"/>
          <w:color w:val="auto"/>
          <w:sz w:val="24"/>
          <w:szCs w:val="24"/>
          <w:highlight w:val="none"/>
          <w:u w:val="none"/>
          <w:lang w:eastAsia="zh-CN"/>
        </w:rPr>
        <w:t>：</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 xml:space="preserve"> </w:t>
      </w:r>
      <w:r>
        <w:rPr>
          <w:rFonts w:hint="eastAsia" w:ascii="宋体" w:hAnsi="宋体" w:eastAsia="宋体" w:cs="Tahoma"/>
          <w:bCs w:val="0"/>
          <w:color w:val="auto"/>
          <w:sz w:val="24"/>
          <w:szCs w:val="24"/>
          <w:highlight w:val="none"/>
          <w:u w:val="none"/>
        </w:rPr>
        <w:t xml:space="preserve">；  </w:t>
      </w:r>
    </w:p>
    <w:p w14:paraId="0039D5C6">
      <w:pPr>
        <w:keepNext w:val="0"/>
        <w:keepLines w:val="0"/>
        <w:pageBreakBefore w:val="0"/>
        <w:shd w:val="clear"/>
        <w:kinsoku/>
        <w:overflowPunct/>
        <w:topLinePunct w:val="0"/>
        <w:autoSpaceDE/>
        <w:autoSpaceDN/>
        <w:bidi w:val="0"/>
        <w:adjustRightInd/>
        <w:snapToGrid/>
        <w:spacing w:line="520" w:lineRule="exact"/>
        <w:ind w:left="0" w:leftChars="0"/>
        <w:jc w:val="left"/>
        <w:textAlignment w:val="auto"/>
        <w:rPr>
          <w:rFonts w:hint="eastAsia" w:ascii="宋体" w:hAnsi="宋体" w:eastAsia="宋体" w:cs="Tahoma"/>
          <w:bCs w:val="0"/>
          <w:color w:val="auto"/>
          <w:sz w:val="24"/>
          <w:szCs w:val="24"/>
          <w:highlight w:val="none"/>
        </w:rPr>
      </w:pP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325102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4510064F">
      <w:pPr>
        <w:keepNext w:val="0"/>
        <w:keepLines w:val="0"/>
        <w:pageBreakBefore w:val="0"/>
        <w:shd w:val="clear"/>
        <w:kinsoku/>
        <w:overflowPunct/>
        <w:topLinePunct w:val="0"/>
        <w:autoSpaceDE/>
        <w:autoSpaceDN/>
        <w:bidi w:val="0"/>
        <w:adjustRightInd/>
        <w:snapToGrid/>
        <w:spacing w:line="520" w:lineRule="exact"/>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0577-66969917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w:t>
      </w:r>
      <w:r>
        <w:rPr>
          <w:rFonts w:hint="eastAsia" w:ascii="宋体" w:hAnsi="宋体" w:cs="Verdana"/>
          <w:bCs w:val="0"/>
          <w:color w:val="auto"/>
          <w:sz w:val="24"/>
          <w:szCs w:val="24"/>
          <w:highlight w:val="none"/>
          <w:u w:val="single"/>
          <w:lang w:val="en-US" w:eastAsia="zh-CN"/>
        </w:rPr>
        <w:t xml:space="preserve"> </w:t>
      </w:r>
      <w:r>
        <w:rPr>
          <w:rFonts w:hint="eastAsia" w:ascii="宋体" w:hAnsi="宋体" w:eastAsia="宋体" w:cs="Tahoma"/>
          <w:bCs w:val="0"/>
          <w:color w:val="auto"/>
          <w:sz w:val="24"/>
          <w:szCs w:val="24"/>
          <w:highlight w:val="none"/>
        </w:rPr>
        <w:t>；</w:t>
      </w:r>
    </w:p>
    <w:p w14:paraId="5478D0DE">
      <w:pPr>
        <w:keepNext w:val="0"/>
        <w:keepLines w:val="0"/>
        <w:pageBreakBefore w:val="0"/>
        <w:shd w:val="clear"/>
        <w:kinsoku/>
        <w:overflowPunct/>
        <w:topLinePunct w:val="0"/>
        <w:autoSpaceDE/>
        <w:autoSpaceDN/>
        <w:bidi w:val="0"/>
        <w:adjustRightInd/>
        <w:snapToGrid/>
        <w:spacing w:line="520" w:lineRule="exact"/>
        <w:ind w:firstLine="6240" w:firstLineChars="2600"/>
        <w:textAlignment w:val="auto"/>
        <w:rPr>
          <w:rFonts w:ascii="宋体" w:hAnsi="宋体" w:eastAsia="宋体"/>
          <w:bCs w:val="0"/>
          <w:color w:val="auto"/>
          <w:sz w:val="24"/>
          <w:szCs w:val="24"/>
          <w:highlight w:val="none"/>
        </w:rPr>
      </w:pPr>
      <w:r>
        <w:rPr>
          <w:rFonts w:hint="eastAsia" w:ascii="宋体" w:hAnsi="宋体" w:eastAsia="宋体"/>
          <w:bCs w:val="0"/>
          <w:color w:val="auto"/>
          <w:sz w:val="24"/>
          <w:szCs w:val="24"/>
          <w:highlight w:val="none"/>
        </w:rPr>
        <w:t>签约时间：202</w:t>
      </w:r>
      <w:r>
        <w:rPr>
          <w:rFonts w:hint="eastAsia" w:ascii="宋体" w:hAnsi="宋体"/>
          <w:bCs w:val="0"/>
          <w:color w:val="auto"/>
          <w:sz w:val="24"/>
          <w:szCs w:val="24"/>
          <w:highlight w:val="none"/>
          <w:lang w:val="en-US" w:eastAsia="zh-CN"/>
        </w:rPr>
        <w:t>5</w:t>
      </w:r>
      <w:r>
        <w:rPr>
          <w:rFonts w:hint="eastAsia" w:ascii="宋体" w:hAnsi="宋体" w:eastAsia="宋体"/>
          <w:bCs w:val="0"/>
          <w:color w:val="auto"/>
          <w:sz w:val="24"/>
          <w:szCs w:val="24"/>
          <w:highlight w:val="none"/>
        </w:rPr>
        <w:t>年</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月</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日</w:t>
      </w:r>
    </w:p>
    <w:sectPr>
      <w:headerReference r:id="rId5" w:type="first"/>
      <w:footerReference r:id="rId8" w:type="first"/>
      <w:headerReference r:id="rId3" w:type="default"/>
      <w:footerReference r:id="rId6" w:type="default"/>
      <w:headerReference r:id="rId4" w:type="even"/>
      <w:footerReference r:id="rId7" w:type="even"/>
      <w:pgSz w:w="11907" w:h="16840"/>
      <w:pgMar w:top="1531" w:right="1361" w:bottom="1247" w:left="1417"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FDD74">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CA0947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3CA0947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F20CB">
    <w:pPr>
      <w:pStyle w:val="2"/>
      <w:framePr w:wrap="around" w:vAnchor="text" w:hAnchor="margin" w:xAlign="right" w:y="1"/>
      <w:rPr>
        <w:rStyle w:val="8"/>
      </w:rPr>
    </w:pPr>
    <w:r>
      <w:rPr>
        <w:rStyle w:val="8"/>
      </w:rPr>
      <w:fldChar w:fldCharType="begin"/>
    </w:r>
    <w:r>
      <w:rPr>
        <w:rStyle w:val="8"/>
      </w:rPr>
      <w:instrText xml:space="preserve">PAGE  </w:instrText>
    </w:r>
    <w:r>
      <w:rPr>
        <w:rStyle w:val="8"/>
      </w:rPr>
      <w:fldChar w:fldCharType="end"/>
    </w:r>
  </w:p>
  <w:p w14:paraId="41F165CD">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B4F38">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49CFE">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008D5">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84C49">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C033D"/>
    <w:multiLevelType w:val="singleLevel"/>
    <w:tmpl w:val="806C033D"/>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kNjNiNTg2ZDFmZmVjODMxZWViNDEyMTdhZDIwMDkifQ=="/>
  </w:docVars>
  <w:rsids>
    <w:rsidRoot w:val="11C82669"/>
    <w:rsid w:val="03F54C52"/>
    <w:rsid w:val="06853BB3"/>
    <w:rsid w:val="083D1BE7"/>
    <w:rsid w:val="09DE7A5B"/>
    <w:rsid w:val="0B7717DD"/>
    <w:rsid w:val="0C120997"/>
    <w:rsid w:val="0D9D0734"/>
    <w:rsid w:val="111E7B90"/>
    <w:rsid w:val="11C82669"/>
    <w:rsid w:val="11D44ABA"/>
    <w:rsid w:val="15207B78"/>
    <w:rsid w:val="160C7839"/>
    <w:rsid w:val="1CAE0268"/>
    <w:rsid w:val="202B0253"/>
    <w:rsid w:val="235B6D29"/>
    <w:rsid w:val="23D5257E"/>
    <w:rsid w:val="286C74DE"/>
    <w:rsid w:val="29BD0B9F"/>
    <w:rsid w:val="2CC75223"/>
    <w:rsid w:val="2D377E06"/>
    <w:rsid w:val="385F4362"/>
    <w:rsid w:val="39C90439"/>
    <w:rsid w:val="3A476F2A"/>
    <w:rsid w:val="3B1B2B15"/>
    <w:rsid w:val="3B3C6E52"/>
    <w:rsid w:val="404C3770"/>
    <w:rsid w:val="437F41D9"/>
    <w:rsid w:val="445954C5"/>
    <w:rsid w:val="453F1807"/>
    <w:rsid w:val="4CFD02CC"/>
    <w:rsid w:val="50DB40B6"/>
    <w:rsid w:val="50FD6943"/>
    <w:rsid w:val="560F35E2"/>
    <w:rsid w:val="58CD2896"/>
    <w:rsid w:val="5D2B3A8F"/>
    <w:rsid w:val="5FAC35B0"/>
    <w:rsid w:val="5FEF4643"/>
    <w:rsid w:val="608E0379"/>
    <w:rsid w:val="60E96A0A"/>
    <w:rsid w:val="646B1B68"/>
    <w:rsid w:val="64703656"/>
    <w:rsid w:val="658B5C31"/>
    <w:rsid w:val="659E1D58"/>
    <w:rsid w:val="65A03A9E"/>
    <w:rsid w:val="67D67D59"/>
    <w:rsid w:val="68B3399C"/>
    <w:rsid w:val="6B6A2B79"/>
    <w:rsid w:val="729A6A72"/>
    <w:rsid w:val="72FC4EA1"/>
    <w:rsid w:val="74902B54"/>
    <w:rsid w:val="78273488"/>
    <w:rsid w:val="79F90C8D"/>
    <w:rsid w:val="7B1A5686"/>
    <w:rsid w:val="7D18781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bCs/>
    </w:rPr>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1622</Words>
  <Characters>1729</Characters>
  <Lines>0</Lines>
  <Paragraphs>0</Paragraphs>
  <TotalTime>0</TotalTime>
  <ScaleCrop>false</ScaleCrop>
  <LinksUpToDate>false</LinksUpToDate>
  <CharactersWithSpaces>2030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2024-07-04T13:49:00Z</dcterms:created>
  <dc:creator>察</dc:creator>
  <cp:lastModifiedBy>叶子</cp:lastModifiedBy>
  <dcterms:modified xsi:type="dcterms:W3CDTF">2025-08-19T01:04:00Z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44D2BA4CBF1B46CEB0C8C2A6E566C125_13</vt:lpwstr>
  </property>
  <property fmtid="{D5CDD505-2E9C-101B-9397-08002B2CF9AE}" pid="4" name="KSOTemplateDocerSaveRecord">
    <vt:lpwstr>eyJoZGlkIjoiNzU3MGNkODE0YTE4N2IyZDRiMmVlZDc1Mjc3MmZhMzIiLCJ1c2VySWQiOiI0NDUwOTgyOTEifQ==</vt:lpwstr>
  </property>
</Properties>
</file>