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FFD890">
      <w:pPr>
        <w:keepNext w:val="0"/>
        <w:keepLines w:val="0"/>
        <w:pageBreakBefore w:val="0"/>
        <w:widowControl/>
        <w:kinsoku/>
        <w:wordWrap/>
        <w:overflowPunct/>
        <w:topLinePunct w:val="0"/>
        <w:autoSpaceDE/>
        <w:autoSpaceDN/>
        <w:bidi w:val="0"/>
        <w:adjustRightInd/>
        <w:snapToGrid/>
        <w:jc w:val="center"/>
        <w:textAlignment w:val="auto"/>
        <w:rPr>
          <w:rFonts w:ascii="方正小标宋简体" w:hAnsi="方正小标宋简体" w:eastAsia="方正小标宋简体" w:cs="方正小标宋简体"/>
          <w:bCs/>
          <w:kern w:val="0"/>
          <w:sz w:val="44"/>
          <w:szCs w:val="44"/>
        </w:rPr>
      </w:pPr>
      <w:r>
        <w:rPr>
          <w:rFonts w:hint="eastAsia" w:ascii="方正小标宋简体" w:hAnsi="方正小标宋简体" w:eastAsia="方正小标宋简体" w:cs="方正小标宋简体"/>
          <w:bCs/>
          <w:kern w:val="0"/>
          <w:sz w:val="44"/>
          <w:szCs w:val="44"/>
        </w:rPr>
        <w:t>粮</w:t>
      </w:r>
      <w:r>
        <w:rPr>
          <w:rFonts w:hint="eastAsia" w:ascii="方正小标宋简体" w:hAnsi="方正小标宋简体" w:eastAsia="方正小标宋简体" w:cs="方正小标宋简体"/>
          <w:bCs/>
          <w:kern w:val="0"/>
          <w:sz w:val="44"/>
          <w:szCs w:val="44"/>
          <w:lang w:val="en-US" w:eastAsia="zh-CN"/>
        </w:rPr>
        <w:t>油轮换</w:t>
      </w:r>
      <w:r>
        <w:rPr>
          <w:rFonts w:hint="eastAsia" w:ascii="方正小标宋简体" w:hAnsi="方正小标宋简体" w:eastAsia="方正小标宋简体" w:cs="方正小标宋简体"/>
          <w:bCs/>
          <w:kern w:val="0"/>
          <w:sz w:val="44"/>
          <w:szCs w:val="44"/>
        </w:rPr>
        <w:t>合同</w:t>
      </w:r>
    </w:p>
    <w:p w14:paraId="0FA8B0BA">
      <w:pPr>
        <w:keepNext w:val="0"/>
        <w:keepLines w:val="0"/>
        <w:pageBreakBefore w:val="0"/>
        <w:widowControl/>
        <w:kinsoku/>
        <w:wordWrap w:val="0"/>
        <w:overflowPunct/>
        <w:topLinePunct w:val="0"/>
        <w:autoSpaceDE/>
        <w:autoSpaceDN/>
        <w:bidi w:val="0"/>
        <w:adjustRightInd/>
        <w:snapToGrid/>
        <w:spacing w:line="480" w:lineRule="auto"/>
        <w:jc w:val="left"/>
        <w:textAlignment w:val="auto"/>
        <w:rPr>
          <w:rFonts w:hint="default" w:asciiTheme="minorEastAsia" w:hAnsiTheme="minorEastAsia" w:eastAsiaTheme="minorEastAsia" w:cstheme="minorEastAsia"/>
          <w:bCs/>
          <w:kern w:val="0"/>
          <w:sz w:val="28"/>
          <w:szCs w:val="28"/>
          <w:lang w:val="en-US" w:eastAsia="zh-CN"/>
        </w:rPr>
      </w:pP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lang w:val="en-US" w:eastAsia="zh-CN"/>
        </w:rPr>
        <w:t xml:space="preserve">                                               </w:t>
      </w:r>
      <w:r>
        <w:rPr>
          <w:rFonts w:hint="eastAsia" w:asciiTheme="minorEastAsia" w:hAnsiTheme="minorEastAsia" w:eastAsiaTheme="minorEastAsia" w:cstheme="minorEastAsia"/>
          <w:bCs/>
          <w:kern w:val="0"/>
          <w:sz w:val="24"/>
          <w:szCs w:val="24"/>
          <w:lang w:val="en-US" w:eastAsia="zh-CN"/>
        </w:rPr>
        <w:t xml:space="preserve"> </w:t>
      </w:r>
      <w:r>
        <w:rPr>
          <w:rFonts w:hint="eastAsia" w:asciiTheme="minorEastAsia" w:hAnsiTheme="minorEastAsia" w:eastAsiaTheme="minorEastAsia" w:cstheme="minorEastAsia"/>
          <w:bCs/>
          <w:kern w:val="0"/>
          <w:sz w:val="24"/>
          <w:szCs w:val="24"/>
        </w:rPr>
        <w:t>202</w:t>
      </w:r>
      <w:r>
        <w:rPr>
          <w:rFonts w:hint="eastAsia" w:asciiTheme="minorEastAsia" w:hAnsiTheme="minorEastAsia" w:eastAsiaTheme="minorEastAsia" w:cstheme="minorEastAsia"/>
          <w:bCs/>
          <w:kern w:val="0"/>
          <w:sz w:val="24"/>
          <w:szCs w:val="24"/>
          <w:lang w:val="en-US" w:eastAsia="zh-CN"/>
        </w:rPr>
        <w:t>5</w:t>
      </w:r>
      <w:r>
        <w:rPr>
          <w:rFonts w:hint="eastAsia" w:asciiTheme="minorEastAsia" w:hAnsiTheme="minorEastAsia" w:eastAsiaTheme="minorEastAsia" w:cstheme="minorEastAsia"/>
          <w:bCs/>
          <w:kern w:val="0"/>
          <w:sz w:val="24"/>
          <w:szCs w:val="24"/>
        </w:rPr>
        <w:t>年</w:t>
      </w:r>
      <w:r>
        <w:rPr>
          <w:rFonts w:hint="eastAsia" w:asciiTheme="minorEastAsia" w:hAnsiTheme="minorEastAsia" w:eastAsiaTheme="minorEastAsia" w:cstheme="minorEastAsia"/>
          <w:bCs/>
          <w:kern w:val="0"/>
          <w:sz w:val="24"/>
          <w:szCs w:val="24"/>
          <w:lang w:val="en-US" w:eastAsia="zh-CN"/>
        </w:rPr>
        <w:t xml:space="preserve">  </w:t>
      </w:r>
      <w:r>
        <w:rPr>
          <w:rFonts w:hint="eastAsia" w:asciiTheme="minorEastAsia" w:hAnsiTheme="minorEastAsia" w:eastAsiaTheme="minorEastAsia" w:cstheme="minorEastAsia"/>
          <w:bCs/>
          <w:kern w:val="0"/>
          <w:sz w:val="24"/>
          <w:szCs w:val="24"/>
        </w:rPr>
        <w:t>月</w:t>
      </w:r>
      <w:r>
        <w:rPr>
          <w:rFonts w:hint="eastAsia" w:asciiTheme="minorEastAsia" w:hAnsiTheme="minorEastAsia" w:eastAsiaTheme="minorEastAsia" w:cstheme="minorEastAsia"/>
          <w:bCs/>
          <w:kern w:val="0"/>
          <w:sz w:val="24"/>
          <w:szCs w:val="24"/>
          <w:lang w:val="en-US" w:eastAsia="zh-CN"/>
        </w:rPr>
        <w:t xml:space="preserve">  </w:t>
      </w:r>
      <w:r>
        <w:rPr>
          <w:rFonts w:hint="eastAsia" w:asciiTheme="minorEastAsia" w:hAnsiTheme="minorEastAsia" w:eastAsiaTheme="minorEastAsia" w:cstheme="minorEastAsia"/>
          <w:bCs/>
          <w:kern w:val="0"/>
          <w:sz w:val="24"/>
          <w:szCs w:val="24"/>
        </w:rPr>
        <w:t>日</w:t>
      </w:r>
      <w:r>
        <w:rPr>
          <w:rFonts w:hint="eastAsia" w:asciiTheme="minorEastAsia" w:hAnsiTheme="minorEastAsia" w:eastAsiaTheme="minorEastAsia" w:cstheme="minorEastAsia"/>
          <w:bCs/>
          <w:kern w:val="0"/>
          <w:sz w:val="28"/>
          <w:szCs w:val="28"/>
          <w:lang w:val="en-US" w:eastAsia="zh-CN"/>
        </w:rPr>
        <w:t xml:space="preserve"> </w:t>
      </w:r>
    </w:p>
    <w:p w14:paraId="4D09FF33">
      <w:pPr>
        <w:keepNext w:val="0"/>
        <w:keepLines w:val="0"/>
        <w:pageBreakBefore w:val="0"/>
        <w:widowControl/>
        <w:kinsoku/>
        <w:wordWrap w:val="0"/>
        <w:overflowPunct/>
        <w:topLinePunct w:val="0"/>
        <w:autoSpaceDE/>
        <w:autoSpaceDN/>
        <w:bidi w:val="0"/>
        <w:adjustRightInd/>
        <w:snapToGrid/>
        <w:spacing w:line="480" w:lineRule="auto"/>
        <w:jc w:val="left"/>
        <w:textAlignment w:val="auto"/>
        <w:rPr>
          <w:rFonts w:hint="eastAsia" w:asciiTheme="minorEastAsia" w:hAnsiTheme="minorEastAsia" w:eastAsiaTheme="minorEastAsia" w:cstheme="minorEastAsia"/>
          <w:bCs/>
          <w:kern w:val="0"/>
          <w:sz w:val="28"/>
          <w:szCs w:val="28"/>
        </w:rPr>
      </w:pPr>
      <w:r>
        <w:rPr>
          <w:rFonts w:hint="eastAsia" w:asciiTheme="minorEastAsia" w:hAnsiTheme="minorEastAsia" w:eastAsiaTheme="minorEastAsia" w:cstheme="minorEastAsia"/>
          <w:bCs/>
          <w:kern w:val="0"/>
          <w:sz w:val="28"/>
          <w:szCs w:val="28"/>
        </w:rPr>
        <w:t>甲方：</w:t>
      </w:r>
      <w:r>
        <w:rPr>
          <w:rFonts w:hint="eastAsia" w:asciiTheme="minorEastAsia" w:hAnsiTheme="minorEastAsia" w:eastAsiaTheme="minorEastAsia" w:cstheme="minorEastAsia"/>
          <w:bCs/>
          <w:kern w:val="0"/>
          <w:sz w:val="28"/>
          <w:szCs w:val="28"/>
          <w:lang w:eastAsia="zh-CN"/>
        </w:rPr>
        <w:t>余姚</w:t>
      </w:r>
      <w:r>
        <w:rPr>
          <w:rFonts w:hint="eastAsia" w:asciiTheme="minorEastAsia" w:hAnsiTheme="minorEastAsia" w:eastAsiaTheme="minorEastAsia" w:cstheme="minorEastAsia"/>
          <w:bCs/>
          <w:kern w:val="0"/>
          <w:sz w:val="28"/>
          <w:szCs w:val="28"/>
        </w:rPr>
        <w:t>市粮食收储有限公司</w:t>
      </w:r>
      <w:r>
        <w:rPr>
          <w:rFonts w:hint="eastAsia" w:asciiTheme="minorEastAsia" w:hAnsiTheme="minorEastAsia" w:eastAsiaTheme="minorEastAsia" w:cstheme="minorEastAsia"/>
          <w:bCs/>
          <w:kern w:val="0"/>
          <w:sz w:val="28"/>
          <w:szCs w:val="28"/>
          <w:lang w:val="en-US" w:eastAsia="zh-CN"/>
        </w:rPr>
        <w:t xml:space="preserve">            </w:t>
      </w:r>
      <w:r>
        <w:rPr>
          <w:rFonts w:hint="eastAsia" w:asciiTheme="minorEastAsia" w:hAnsiTheme="minorEastAsia" w:eastAsiaTheme="minorEastAsia" w:cstheme="minorEastAsia"/>
          <w:bCs/>
          <w:kern w:val="0"/>
          <w:sz w:val="28"/>
          <w:szCs w:val="28"/>
        </w:rPr>
        <w:t>合同编号：</w:t>
      </w:r>
    </w:p>
    <w:p w14:paraId="37A40DF5">
      <w:pPr>
        <w:keepNext w:val="0"/>
        <w:keepLines w:val="0"/>
        <w:pageBreakBefore w:val="0"/>
        <w:widowControl/>
        <w:kinsoku/>
        <w:wordWrap w:val="0"/>
        <w:overflowPunct/>
        <w:topLinePunct w:val="0"/>
        <w:autoSpaceDE/>
        <w:autoSpaceDN/>
        <w:bidi w:val="0"/>
        <w:adjustRightInd/>
        <w:snapToGrid/>
        <w:spacing w:line="240" w:lineRule="auto"/>
        <w:jc w:val="left"/>
        <w:textAlignment w:val="auto"/>
        <w:rPr>
          <w:rFonts w:hint="eastAsia" w:asciiTheme="minorEastAsia" w:hAnsiTheme="minorEastAsia" w:eastAsiaTheme="minorEastAsia" w:cstheme="minorEastAsia"/>
          <w:bCs/>
          <w:kern w:val="0"/>
          <w:sz w:val="28"/>
          <w:szCs w:val="28"/>
          <w:u w:val="single"/>
          <w:lang w:val="en-US" w:eastAsia="zh-CN"/>
        </w:rPr>
      </w:pPr>
      <w:r>
        <w:rPr>
          <w:rFonts w:hint="eastAsia" w:asciiTheme="minorEastAsia" w:hAnsiTheme="minorEastAsia" w:eastAsiaTheme="minorEastAsia" w:cstheme="minorEastAsia"/>
          <w:bCs/>
          <w:kern w:val="0"/>
          <w:sz w:val="28"/>
          <w:szCs w:val="28"/>
          <w:u w:val="none"/>
        </w:rPr>
        <w:t>乙方：</w:t>
      </w:r>
      <w:r>
        <w:rPr>
          <w:rFonts w:hint="eastAsia" w:asciiTheme="minorEastAsia" w:hAnsiTheme="minorEastAsia" w:eastAsiaTheme="minorEastAsia" w:cstheme="minorEastAsia"/>
          <w:bCs/>
          <w:kern w:val="0"/>
          <w:sz w:val="28"/>
          <w:szCs w:val="28"/>
          <w:u w:val="none"/>
          <w:lang w:val="en-US" w:eastAsia="zh-CN"/>
        </w:rPr>
        <w:t xml:space="preserve">                        </w:t>
      </w:r>
      <w:r>
        <w:rPr>
          <w:rFonts w:hint="eastAsia" w:asciiTheme="minorEastAsia" w:hAnsiTheme="minorEastAsia" w:eastAsiaTheme="minorEastAsia" w:cstheme="minorEastAsia"/>
          <w:bCs/>
          <w:kern w:val="0"/>
          <w:sz w:val="28"/>
          <w:szCs w:val="28"/>
          <w:u w:val="none"/>
        </w:rPr>
        <w:t xml:space="preserve">    </w:t>
      </w:r>
      <w:r>
        <w:rPr>
          <w:rFonts w:hint="eastAsia" w:asciiTheme="minorEastAsia" w:hAnsiTheme="minorEastAsia" w:eastAsiaTheme="minorEastAsia" w:cstheme="minorEastAsia"/>
          <w:bCs/>
          <w:kern w:val="0"/>
          <w:sz w:val="28"/>
          <w:szCs w:val="28"/>
          <w:u w:val="none"/>
          <w:lang w:val="en-US" w:eastAsia="zh-CN"/>
        </w:rPr>
        <w:t xml:space="preserve">      </w:t>
      </w:r>
      <w:r>
        <w:rPr>
          <w:rFonts w:hint="eastAsia" w:asciiTheme="minorEastAsia" w:hAnsiTheme="minorEastAsia" w:eastAsiaTheme="minorEastAsia" w:cstheme="minorEastAsia"/>
          <w:bCs/>
          <w:kern w:val="0"/>
          <w:sz w:val="28"/>
          <w:szCs w:val="28"/>
          <w:u w:val="none"/>
        </w:rPr>
        <w:t>签约地点：余姚市</w:t>
      </w:r>
    </w:p>
    <w:p w14:paraId="37FB18C7">
      <w:pPr>
        <w:keepNext w:val="0"/>
        <w:keepLines w:val="0"/>
        <w:pageBreakBefore w:val="0"/>
        <w:widowControl w:val="0"/>
        <w:kinsoku/>
        <w:wordWrap w:val="0"/>
        <w:overflowPunct/>
        <w:topLinePunct w:val="0"/>
        <w:autoSpaceDE/>
        <w:autoSpaceDN/>
        <w:bidi w:val="0"/>
        <w:adjustRightInd/>
        <w:snapToGrid/>
        <w:spacing w:before="157" w:beforeLines="50" w:line="46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甲方通过委托国家粮食浙江交易中心发布“浙江余姚储备油公开竞价轮换公告（国粮浙交202</w:t>
      </w:r>
      <w:r>
        <w:rPr>
          <w:rFonts w:hint="eastAsia" w:asciiTheme="minorEastAsia" w:hAnsiTheme="minorEastAsia" w:eastAsiaTheme="minorEastAsia" w:cstheme="minorEastAsia"/>
          <w:sz w:val="28"/>
          <w:szCs w:val="28"/>
          <w:lang w:val="en-US" w:eastAsia="zh-CN"/>
        </w:rPr>
        <w:t>5</w:t>
      </w:r>
      <w:r>
        <w:rPr>
          <w:rFonts w:hint="eastAsia" w:asciiTheme="minorEastAsia" w:hAnsiTheme="minorEastAsia" w:eastAsiaTheme="minorEastAsia" w:cstheme="minorEastAsia"/>
          <w:sz w:val="28"/>
          <w:szCs w:val="28"/>
        </w:rPr>
        <w:t>第</w:t>
      </w:r>
      <w:r>
        <w:rPr>
          <w:rFonts w:hint="eastAsia" w:asciiTheme="minorEastAsia" w:hAnsiTheme="minorEastAsia" w:eastAsia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rPr>
        <w:t>号）”竞价</w:t>
      </w:r>
      <w:r>
        <w:rPr>
          <w:rFonts w:hint="eastAsia" w:asciiTheme="minorEastAsia" w:hAnsiTheme="minorEastAsia" w:eastAsiaTheme="minorEastAsia" w:cstheme="minorEastAsia"/>
          <w:sz w:val="28"/>
          <w:szCs w:val="28"/>
          <w:lang w:val="en-US" w:eastAsia="zh-CN"/>
        </w:rPr>
        <w:t>轮换</w:t>
      </w:r>
      <w:r>
        <w:rPr>
          <w:rFonts w:hint="eastAsia" w:asciiTheme="minorEastAsia" w:hAnsiTheme="minorEastAsia" w:eastAsiaTheme="minorEastAsia" w:cstheme="minorEastAsia"/>
          <w:sz w:val="28"/>
          <w:szCs w:val="28"/>
          <w:u w:val="none"/>
          <w:lang w:val="en-US" w:eastAsia="zh-CN"/>
        </w:rPr>
        <w:t>一级小包装成品大豆油</w:t>
      </w:r>
      <w:r>
        <w:rPr>
          <w:rFonts w:hint="eastAsia" w:asciiTheme="minorEastAsia" w:hAnsiTheme="minorEastAsia" w:eastAsiaTheme="minorEastAsia" w:cstheme="minorEastAsia"/>
          <w:sz w:val="28"/>
          <w:szCs w:val="28"/>
        </w:rPr>
        <w:t>，乙方参与竞价交易中标，双方以“竞价交易竞得通知书”和“浙江</w:t>
      </w:r>
      <w:r>
        <w:rPr>
          <w:rFonts w:hint="eastAsia" w:asciiTheme="minorEastAsia" w:hAnsiTheme="minorEastAsia" w:eastAsiaTheme="minorEastAsia" w:cstheme="minorEastAsia"/>
          <w:sz w:val="28"/>
          <w:szCs w:val="28"/>
          <w:lang w:eastAsia="zh-CN"/>
        </w:rPr>
        <w:t>余姚</w:t>
      </w:r>
      <w:r>
        <w:rPr>
          <w:rFonts w:hint="eastAsia" w:asciiTheme="minorEastAsia" w:hAnsiTheme="minorEastAsia" w:eastAsiaTheme="minorEastAsia" w:cstheme="minorEastAsia"/>
          <w:sz w:val="28"/>
          <w:szCs w:val="28"/>
        </w:rPr>
        <w:t>储备</w:t>
      </w:r>
      <w:r>
        <w:rPr>
          <w:rFonts w:hint="eastAsia" w:asciiTheme="minorEastAsia" w:hAnsiTheme="minorEastAsia" w:eastAsiaTheme="minorEastAsia" w:cstheme="minorEastAsia"/>
          <w:sz w:val="28"/>
          <w:szCs w:val="28"/>
          <w:lang w:val="en-US" w:eastAsia="zh-CN"/>
        </w:rPr>
        <w:t>油</w:t>
      </w:r>
      <w:r>
        <w:rPr>
          <w:rFonts w:hint="eastAsia" w:asciiTheme="minorEastAsia" w:hAnsiTheme="minorEastAsia" w:eastAsiaTheme="minorEastAsia" w:cstheme="minorEastAsia"/>
          <w:sz w:val="28"/>
          <w:szCs w:val="28"/>
        </w:rPr>
        <w:t>公开竞价</w:t>
      </w:r>
      <w:r>
        <w:rPr>
          <w:rFonts w:hint="eastAsia" w:asciiTheme="minorEastAsia" w:hAnsiTheme="minorEastAsia" w:eastAsiaTheme="minorEastAsia" w:cstheme="minorEastAsia"/>
          <w:sz w:val="28"/>
          <w:szCs w:val="28"/>
          <w:lang w:val="en-US" w:eastAsia="zh-CN"/>
        </w:rPr>
        <w:t>轮换</w:t>
      </w:r>
      <w:r>
        <w:rPr>
          <w:rFonts w:hint="eastAsia" w:asciiTheme="minorEastAsia" w:hAnsiTheme="minorEastAsia" w:eastAsiaTheme="minorEastAsia" w:cstheme="minorEastAsia"/>
          <w:sz w:val="28"/>
          <w:szCs w:val="28"/>
        </w:rPr>
        <w:t>公告”</w:t>
      </w:r>
      <w:r>
        <w:rPr>
          <w:rFonts w:hint="eastAsia" w:asciiTheme="minorEastAsia" w:hAnsiTheme="minorEastAsia" w:eastAsiaTheme="minorEastAsia" w:cstheme="minorEastAsia"/>
          <w:sz w:val="28"/>
          <w:szCs w:val="28"/>
          <w:lang w:val="en-US" w:eastAsia="zh-CN"/>
        </w:rPr>
        <w:t>等</w:t>
      </w:r>
      <w:r>
        <w:rPr>
          <w:rFonts w:hint="eastAsia" w:asciiTheme="minorEastAsia" w:hAnsiTheme="minorEastAsia" w:eastAsiaTheme="minorEastAsia" w:cstheme="minorEastAsia"/>
          <w:sz w:val="28"/>
          <w:szCs w:val="28"/>
        </w:rPr>
        <w:t>为依据实现交易。为明确双方责任，根据《</w:t>
      </w:r>
      <w:r>
        <w:rPr>
          <w:rFonts w:hint="eastAsia" w:asciiTheme="minorEastAsia" w:hAnsiTheme="minorEastAsia" w:eastAsiaTheme="minorEastAsia" w:cstheme="minorEastAsia"/>
          <w:sz w:val="28"/>
          <w:szCs w:val="28"/>
          <w:lang w:eastAsia="zh-CN"/>
        </w:rPr>
        <w:t>中华人民共和国</w:t>
      </w:r>
      <w:r>
        <w:rPr>
          <w:rFonts w:hint="eastAsia" w:asciiTheme="minorEastAsia" w:hAnsiTheme="minorEastAsia" w:eastAsiaTheme="minorEastAsia" w:cstheme="minorEastAsia"/>
          <w:sz w:val="28"/>
          <w:szCs w:val="28"/>
        </w:rPr>
        <w:t>民法典》和《国家粮食浙江交易中心网上竞价交易规则》等的规定，特订立以下合同条款，以资共同遵守。</w:t>
      </w:r>
    </w:p>
    <w:p w14:paraId="6E42DDC1">
      <w:pPr>
        <w:keepNext w:val="0"/>
        <w:keepLines w:val="0"/>
        <w:pageBreakBefore w:val="0"/>
        <w:widowControl/>
        <w:kinsoku/>
        <w:wordWrap w:val="0"/>
        <w:overflowPunct/>
        <w:topLinePunct w:val="0"/>
        <w:autoSpaceDE/>
        <w:autoSpaceDN/>
        <w:bidi w:val="0"/>
        <w:adjustRightInd/>
        <w:snapToGrid/>
        <w:spacing w:line="460" w:lineRule="exact"/>
        <w:ind w:firstLine="560" w:firstLineChars="200"/>
        <w:textAlignment w:val="auto"/>
        <w:rPr>
          <w:rFonts w:hint="eastAsia" w:asciiTheme="minorEastAsia" w:hAnsiTheme="minorEastAsia" w:eastAsiaTheme="minorEastAsia" w:cstheme="minorEastAsia"/>
          <w:b w:val="0"/>
          <w:bCs/>
          <w:color w:val="000000"/>
          <w:kern w:val="0"/>
          <w:sz w:val="28"/>
          <w:szCs w:val="28"/>
        </w:rPr>
      </w:pPr>
      <w:r>
        <w:rPr>
          <w:rFonts w:hint="eastAsia" w:asciiTheme="minorEastAsia" w:hAnsiTheme="minorEastAsia" w:eastAsiaTheme="minorEastAsia" w:cstheme="minorEastAsia"/>
          <w:b w:val="0"/>
          <w:bCs/>
          <w:color w:val="000000"/>
          <w:kern w:val="0"/>
          <w:sz w:val="28"/>
          <w:szCs w:val="28"/>
        </w:rPr>
        <w:t>一、</w:t>
      </w:r>
      <w:r>
        <w:rPr>
          <w:rFonts w:hint="eastAsia" w:asciiTheme="minorEastAsia" w:hAnsiTheme="minorEastAsia" w:eastAsiaTheme="minorEastAsia" w:cstheme="minorEastAsia"/>
          <w:b w:val="0"/>
          <w:bCs/>
          <w:color w:val="000000"/>
          <w:kern w:val="0"/>
          <w:sz w:val="28"/>
          <w:szCs w:val="28"/>
          <w:lang w:val="en-US" w:eastAsia="zh-CN"/>
        </w:rPr>
        <w:t>轮换</w:t>
      </w:r>
      <w:r>
        <w:rPr>
          <w:rFonts w:hint="eastAsia" w:asciiTheme="minorEastAsia" w:hAnsiTheme="minorEastAsia" w:eastAsiaTheme="minorEastAsia" w:cstheme="minorEastAsia"/>
          <w:b w:val="0"/>
          <w:bCs/>
          <w:sz w:val="28"/>
          <w:szCs w:val="28"/>
        </w:rPr>
        <w:t>品种、数量、</w:t>
      </w:r>
      <w:r>
        <w:rPr>
          <w:rFonts w:hint="eastAsia" w:asciiTheme="minorEastAsia" w:hAnsiTheme="minorEastAsia" w:eastAsiaTheme="minorEastAsia" w:cstheme="minorEastAsia"/>
          <w:b w:val="0"/>
          <w:bCs/>
          <w:sz w:val="28"/>
          <w:szCs w:val="28"/>
          <w:lang w:val="en-US" w:eastAsia="zh-CN"/>
        </w:rPr>
        <w:t>轮入及轮出单价和金额</w:t>
      </w:r>
    </w:p>
    <w:tbl>
      <w:tblPr>
        <w:tblStyle w:val="10"/>
        <w:tblW w:w="9125" w:type="dxa"/>
        <w:tblInd w:w="-36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38"/>
        <w:gridCol w:w="1075"/>
        <w:gridCol w:w="1337"/>
        <w:gridCol w:w="1338"/>
        <w:gridCol w:w="1437"/>
        <w:gridCol w:w="1362"/>
        <w:gridCol w:w="1438"/>
      </w:tblGrid>
      <w:tr w14:paraId="05A0C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8" w:type="dxa"/>
            <w:shd w:val="clear" w:color="auto" w:fill="auto"/>
            <w:vAlign w:val="center"/>
          </w:tcPr>
          <w:p w14:paraId="203CB5D6">
            <w:pPr>
              <w:keepNext w:val="0"/>
              <w:keepLines w:val="0"/>
              <w:pageBreakBefore w:val="0"/>
              <w:kinsoku/>
              <w:wordWrap/>
              <w:overflowPunct/>
              <w:topLinePunct w:val="0"/>
              <w:autoSpaceDE/>
              <w:autoSpaceDN/>
              <w:bidi w:val="0"/>
              <w:adjustRightInd/>
              <w:snapToGrid/>
              <w:spacing w:line="420" w:lineRule="exact"/>
              <w:jc w:val="center"/>
              <w:textAlignment w:val="auto"/>
              <w:rPr>
                <w:rFonts w:hint="default" w:asciiTheme="minorEastAsia" w:hAnsiTheme="minorEastAsia" w:eastAsiaTheme="minorEastAsia" w:cstheme="minorEastAsia"/>
                <w:b w:val="0"/>
                <w:bCs w:val="0"/>
                <w:kern w:val="2"/>
                <w:sz w:val="24"/>
                <w:szCs w:val="24"/>
                <w:lang w:val="en-US" w:eastAsia="zh-CN" w:bidi="ar-SA"/>
              </w:rPr>
            </w:pPr>
            <w:r>
              <w:rPr>
                <w:rFonts w:hint="eastAsia" w:asciiTheme="minorEastAsia" w:hAnsiTheme="minorEastAsia" w:eastAsiaTheme="minorEastAsia" w:cstheme="minorEastAsia"/>
                <w:b w:val="0"/>
                <w:bCs w:val="0"/>
                <w:kern w:val="2"/>
                <w:sz w:val="24"/>
                <w:szCs w:val="24"/>
              </w:rPr>
              <w:t>标</w:t>
            </w:r>
            <w:r>
              <w:rPr>
                <w:rFonts w:hint="eastAsia" w:asciiTheme="minorEastAsia" w:hAnsiTheme="minorEastAsia" w:eastAsiaTheme="minorEastAsia" w:cstheme="minorEastAsia"/>
                <w:b w:val="0"/>
                <w:bCs w:val="0"/>
                <w:kern w:val="2"/>
                <w:sz w:val="24"/>
                <w:szCs w:val="24"/>
                <w:lang w:val="en-US" w:eastAsia="zh-CN"/>
              </w:rPr>
              <w:t>的号</w:t>
            </w:r>
          </w:p>
        </w:tc>
        <w:tc>
          <w:tcPr>
            <w:tcW w:w="1075" w:type="dxa"/>
            <w:shd w:val="clear" w:color="auto" w:fill="auto"/>
            <w:vAlign w:val="center"/>
          </w:tcPr>
          <w:p w14:paraId="453B519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Theme="minorEastAsia" w:hAnsiTheme="minorEastAsia" w:eastAsiaTheme="minorEastAsia" w:cstheme="minorEastAsia"/>
                <w:b w:val="0"/>
                <w:bCs w:val="0"/>
                <w:kern w:val="2"/>
                <w:sz w:val="24"/>
                <w:szCs w:val="24"/>
                <w:lang w:val="en-US" w:eastAsia="zh-CN" w:bidi="ar-SA"/>
              </w:rPr>
            </w:pPr>
            <w:r>
              <w:rPr>
                <w:rFonts w:hint="eastAsia" w:asciiTheme="minorEastAsia" w:hAnsiTheme="minorEastAsia" w:eastAsiaTheme="minorEastAsia" w:cstheme="minorEastAsia"/>
                <w:b w:val="0"/>
                <w:bCs w:val="0"/>
                <w:kern w:val="2"/>
                <w:sz w:val="24"/>
                <w:szCs w:val="24"/>
              </w:rPr>
              <w:t>品种</w:t>
            </w:r>
          </w:p>
        </w:tc>
        <w:tc>
          <w:tcPr>
            <w:tcW w:w="1337" w:type="dxa"/>
            <w:shd w:val="clear" w:color="auto" w:fill="auto"/>
            <w:vAlign w:val="center"/>
          </w:tcPr>
          <w:p w14:paraId="27CF85EB">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Theme="minorEastAsia" w:hAnsiTheme="minorEastAsia" w:eastAsiaTheme="minorEastAsia" w:cstheme="minorEastAsia"/>
                <w:b w:val="0"/>
                <w:bCs w:val="0"/>
                <w:kern w:val="2"/>
                <w:sz w:val="24"/>
                <w:szCs w:val="24"/>
                <w:lang w:val="en-US" w:eastAsia="zh-CN" w:bidi="ar-SA"/>
              </w:rPr>
            </w:pPr>
            <w:r>
              <w:rPr>
                <w:rFonts w:hint="eastAsia" w:asciiTheme="minorEastAsia" w:hAnsiTheme="minorEastAsia" w:eastAsiaTheme="minorEastAsia" w:cstheme="minorEastAsia"/>
                <w:b w:val="0"/>
                <w:bCs w:val="0"/>
                <w:kern w:val="2"/>
                <w:sz w:val="24"/>
                <w:szCs w:val="24"/>
              </w:rPr>
              <w:t>数量（吨）</w:t>
            </w:r>
          </w:p>
        </w:tc>
        <w:tc>
          <w:tcPr>
            <w:tcW w:w="1338" w:type="dxa"/>
            <w:shd w:val="clear" w:color="auto" w:fill="auto"/>
            <w:vAlign w:val="center"/>
          </w:tcPr>
          <w:p w14:paraId="40C7F349">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Theme="minorEastAsia" w:hAnsiTheme="minorEastAsia" w:eastAsiaTheme="minorEastAsia" w:cstheme="minorEastAsia"/>
                <w:b w:val="0"/>
                <w:bCs w:val="0"/>
                <w:kern w:val="2"/>
                <w:sz w:val="24"/>
                <w:szCs w:val="24"/>
                <w:lang w:val="en-US" w:eastAsia="zh-CN" w:bidi="ar-SA"/>
              </w:rPr>
            </w:pPr>
            <w:r>
              <w:rPr>
                <w:rFonts w:hint="eastAsia" w:asciiTheme="minorEastAsia" w:hAnsiTheme="minorEastAsia" w:eastAsiaTheme="minorEastAsia" w:cstheme="minorEastAsia"/>
                <w:b w:val="0"/>
                <w:bCs w:val="0"/>
                <w:kern w:val="2"/>
                <w:sz w:val="24"/>
                <w:szCs w:val="24"/>
                <w:lang w:val="en-US" w:eastAsia="zh-CN"/>
              </w:rPr>
              <w:t>轮入单价</w:t>
            </w:r>
            <w:r>
              <w:rPr>
                <w:rFonts w:hint="eastAsia" w:asciiTheme="minorEastAsia" w:hAnsiTheme="minorEastAsia" w:eastAsiaTheme="minorEastAsia" w:cstheme="minorEastAsia"/>
                <w:b w:val="0"/>
                <w:bCs w:val="0"/>
                <w:kern w:val="2"/>
                <w:sz w:val="24"/>
                <w:szCs w:val="24"/>
              </w:rPr>
              <w:t>（元/吨）</w:t>
            </w:r>
          </w:p>
        </w:tc>
        <w:tc>
          <w:tcPr>
            <w:tcW w:w="1437" w:type="dxa"/>
            <w:shd w:val="clear" w:color="auto" w:fill="auto"/>
            <w:vAlign w:val="center"/>
          </w:tcPr>
          <w:p w14:paraId="12DD788C">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Theme="minorEastAsia" w:hAnsiTheme="minorEastAsia" w:eastAsiaTheme="minorEastAsia" w:cstheme="minorEastAsia"/>
                <w:b w:val="0"/>
                <w:bCs w:val="0"/>
                <w:kern w:val="2"/>
                <w:sz w:val="24"/>
                <w:szCs w:val="24"/>
                <w:lang w:val="en-US" w:eastAsia="zh-CN" w:bidi="ar-SA"/>
              </w:rPr>
            </w:pPr>
            <w:r>
              <w:rPr>
                <w:rFonts w:hint="eastAsia" w:asciiTheme="minorEastAsia" w:hAnsiTheme="minorEastAsia" w:eastAsiaTheme="minorEastAsia" w:cstheme="minorEastAsia"/>
                <w:b w:val="0"/>
                <w:bCs w:val="0"/>
                <w:kern w:val="2"/>
                <w:sz w:val="24"/>
                <w:szCs w:val="24"/>
                <w:lang w:val="en-US" w:eastAsia="zh-CN"/>
              </w:rPr>
              <w:t>轮入货款 金</w:t>
            </w:r>
            <w:r>
              <w:rPr>
                <w:rFonts w:hint="eastAsia" w:asciiTheme="minorEastAsia" w:hAnsiTheme="minorEastAsia" w:eastAsiaTheme="minorEastAsia" w:cstheme="minorEastAsia"/>
                <w:b w:val="0"/>
                <w:bCs w:val="0"/>
                <w:kern w:val="2"/>
                <w:sz w:val="24"/>
                <w:szCs w:val="24"/>
              </w:rPr>
              <w:t>额（元）</w:t>
            </w:r>
          </w:p>
        </w:tc>
        <w:tc>
          <w:tcPr>
            <w:tcW w:w="1362" w:type="dxa"/>
            <w:shd w:val="clear" w:color="auto" w:fill="auto"/>
            <w:vAlign w:val="center"/>
          </w:tcPr>
          <w:p w14:paraId="0B50542C">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Theme="minorEastAsia" w:hAnsiTheme="minorEastAsia" w:eastAsiaTheme="minorEastAsia" w:cstheme="minorEastAsia"/>
                <w:b w:val="0"/>
                <w:bCs w:val="0"/>
                <w:kern w:val="2"/>
                <w:sz w:val="24"/>
                <w:szCs w:val="24"/>
                <w:lang w:val="en-US" w:eastAsia="zh-CN" w:bidi="ar-SA"/>
              </w:rPr>
            </w:pPr>
            <w:r>
              <w:rPr>
                <w:rFonts w:hint="eastAsia" w:asciiTheme="minorEastAsia" w:hAnsiTheme="minorEastAsia" w:eastAsiaTheme="minorEastAsia" w:cstheme="minorEastAsia"/>
                <w:b w:val="0"/>
                <w:bCs w:val="0"/>
                <w:kern w:val="2"/>
                <w:sz w:val="24"/>
                <w:szCs w:val="24"/>
                <w:lang w:val="en-US" w:eastAsia="zh-CN"/>
              </w:rPr>
              <w:t>轮出单价</w:t>
            </w:r>
            <w:r>
              <w:rPr>
                <w:rFonts w:hint="eastAsia" w:asciiTheme="minorEastAsia" w:hAnsiTheme="minorEastAsia" w:eastAsiaTheme="minorEastAsia" w:cstheme="minorEastAsia"/>
                <w:b w:val="0"/>
                <w:bCs w:val="0"/>
                <w:kern w:val="2"/>
                <w:sz w:val="24"/>
                <w:szCs w:val="24"/>
              </w:rPr>
              <w:t>（元/吨）</w:t>
            </w:r>
          </w:p>
        </w:tc>
        <w:tc>
          <w:tcPr>
            <w:tcW w:w="1438" w:type="dxa"/>
            <w:shd w:val="clear" w:color="auto" w:fill="auto"/>
            <w:vAlign w:val="center"/>
          </w:tcPr>
          <w:p w14:paraId="57C346AB">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Theme="minorEastAsia" w:hAnsiTheme="minorEastAsia" w:eastAsiaTheme="minorEastAsia" w:cstheme="minorEastAsia"/>
                <w:b w:val="0"/>
                <w:bCs w:val="0"/>
                <w:kern w:val="2"/>
                <w:sz w:val="24"/>
                <w:szCs w:val="24"/>
                <w:lang w:val="en-US" w:eastAsia="zh-CN" w:bidi="ar-SA"/>
              </w:rPr>
            </w:pPr>
            <w:r>
              <w:rPr>
                <w:rFonts w:hint="eastAsia" w:asciiTheme="minorEastAsia" w:hAnsiTheme="minorEastAsia" w:eastAsiaTheme="minorEastAsia" w:cstheme="minorEastAsia"/>
                <w:b w:val="0"/>
                <w:bCs w:val="0"/>
                <w:kern w:val="2"/>
                <w:sz w:val="24"/>
                <w:szCs w:val="24"/>
                <w:lang w:val="en-US" w:eastAsia="zh-CN"/>
              </w:rPr>
              <w:t>轮出货款 金</w:t>
            </w:r>
            <w:r>
              <w:rPr>
                <w:rFonts w:hint="eastAsia" w:asciiTheme="minorEastAsia" w:hAnsiTheme="minorEastAsia" w:eastAsiaTheme="minorEastAsia" w:cstheme="minorEastAsia"/>
                <w:b w:val="0"/>
                <w:bCs w:val="0"/>
                <w:kern w:val="2"/>
                <w:sz w:val="24"/>
                <w:szCs w:val="24"/>
              </w:rPr>
              <w:t>额（元）</w:t>
            </w:r>
          </w:p>
        </w:tc>
      </w:tr>
      <w:tr w14:paraId="46D91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trPr>
        <w:tc>
          <w:tcPr>
            <w:tcW w:w="1138" w:type="dxa"/>
            <w:shd w:val="clear" w:color="auto" w:fill="auto"/>
            <w:vAlign w:val="center"/>
          </w:tcPr>
          <w:p w14:paraId="319710BA">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rPr>
              <w:t>余姚01</w:t>
            </w:r>
          </w:p>
        </w:tc>
        <w:tc>
          <w:tcPr>
            <w:tcW w:w="1075" w:type="dxa"/>
            <w:shd w:val="clear" w:color="auto" w:fill="auto"/>
            <w:vAlign w:val="center"/>
          </w:tcPr>
          <w:p w14:paraId="6864C391">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rPr>
              <w:t>大豆油</w:t>
            </w:r>
          </w:p>
        </w:tc>
        <w:tc>
          <w:tcPr>
            <w:tcW w:w="1337" w:type="dxa"/>
            <w:shd w:val="clear" w:color="auto" w:fill="auto"/>
            <w:vAlign w:val="center"/>
          </w:tcPr>
          <w:p w14:paraId="6C970ABA">
            <w:pPr>
              <w:keepNext w:val="0"/>
              <w:keepLines w:val="0"/>
              <w:pageBreakBefore w:val="0"/>
              <w:kinsoku/>
              <w:wordWrap/>
              <w:overflowPunct/>
              <w:topLinePunct w:val="0"/>
              <w:autoSpaceDE/>
              <w:autoSpaceDN/>
              <w:bidi w:val="0"/>
              <w:adjustRightInd/>
              <w:snapToGrid/>
              <w:spacing w:line="420" w:lineRule="exact"/>
              <w:jc w:val="center"/>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rPr>
              <w:t>235</w:t>
            </w:r>
          </w:p>
        </w:tc>
        <w:tc>
          <w:tcPr>
            <w:tcW w:w="1338" w:type="dxa"/>
            <w:shd w:val="clear" w:color="auto" w:fill="auto"/>
            <w:vAlign w:val="center"/>
          </w:tcPr>
          <w:p w14:paraId="05CBA487">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Theme="minorEastAsia" w:hAnsiTheme="minorEastAsia" w:eastAsiaTheme="minorEastAsia" w:cstheme="minorEastAsia"/>
                <w:kern w:val="2"/>
                <w:sz w:val="24"/>
                <w:szCs w:val="24"/>
                <w:lang w:val="en-US" w:eastAsia="zh-CN" w:bidi="ar-SA"/>
              </w:rPr>
            </w:pPr>
          </w:p>
        </w:tc>
        <w:tc>
          <w:tcPr>
            <w:tcW w:w="1437" w:type="dxa"/>
            <w:shd w:val="clear" w:color="auto" w:fill="auto"/>
            <w:vAlign w:val="center"/>
          </w:tcPr>
          <w:p w14:paraId="367074AB">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Theme="minorEastAsia" w:hAnsiTheme="minorEastAsia" w:eastAsiaTheme="minorEastAsia" w:cstheme="minorEastAsia"/>
                <w:kern w:val="2"/>
                <w:sz w:val="24"/>
                <w:szCs w:val="24"/>
                <w:lang w:val="en-US" w:eastAsia="zh-CN" w:bidi="ar-SA"/>
              </w:rPr>
            </w:pPr>
          </w:p>
        </w:tc>
        <w:tc>
          <w:tcPr>
            <w:tcW w:w="1362" w:type="dxa"/>
            <w:shd w:val="clear" w:color="auto" w:fill="auto"/>
            <w:vAlign w:val="center"/>
          </w:tcPr>
          <w:p w14:paraId="3E04FE87">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Theme="minorEastAsia" w:hAnsiTheme="minorEastAsia" w:eastAsiaTheme="minorEastAsia" w:cstheme="minorEastAsia"/>
                <w:kern w:val="2"/>
                <w:sz w:val="24"/>
                <w:szCs w:val="24"/>
                <w:lang w:val="en-US" w:eastAsia="zh-CN" w:bidi="ar-SA"/>
              </w:rPr>
            </w:pPr>
          </w:p>
        </w:tc>
        <w:tc>
          <w:tcPr>
            <w:tcW w:w="1438" w:type="dxa"/>
            <w:vAlign w:val="center"/>
          </w:tcPr>
          <w:p w14:paraId="0CEE290E">
            <w:pPr>
              <w:keepNext w:val="0"/>
              <w:keepLines w:val="0"/>
              <w:pageBreakBefore w:val="0"/>
              <w:widowControl/>
              <w:kinsoku/>
              <w:wordWrap/>
              <w:overflowPunct/>
              <w:topLinePunct w:val="0"/>
              <w:autoSpaceDE/>
              <w:autoSpaceDN/>
              <w:bidi w:val="0"/>
              <w:adjustRightInd/>
              <w:snapToGrid/>
              <w:spacing w:line="420" w:lineRule="exact"/>
              <w:jc w:val="center"/>
              <w:textAlignment w:val="auto"/>
              <w:rPr>
                <w:rFonts w:hint="eastAsia" w:asciiTheme="minorEastAsia" w:hAnsiTheme="minorEastAsia" w:eastAsiaTheme="minorEastAsia" w:cstheme="minorEastAsia"/>
                <w:color w:val="000000"/>
                <w:kern w:val="0"/>
                <w:sz w:val="24"/>
                <w:szCs w:val="24"/>
                <w:vertAlign w:val="baseline"/>
                <w:lang w:val="en-US" w:eastAsia="zh-CN"/>
              </w:rPr>
            </w:pPr>
          </w:p>
        </w:tc>
      </w:tr>
      <w:tr w14:paraId="6DC4B0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trPr>
        <w:tc>
          <w:tcPr>
            <w:tcW w:w="1138" w:type="dxa"/>
            <w:shd w:val="clear" w:color="auto" w:fill="auto"/>
            <w:vAlign w:val="center"/>
          </w:tcPr>
          <w:p w14:paraId="681D4F2F">
            <w:pPr>
              <w:jc w:val="center"/>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rPr>
              <w:t>合计</w:t>
            </w:r>
          </w:p>
        </w:tc>
        <w:tc>
          <w:tcPr>
            <w:tcW w:w="1075" w:type="dxa"/>
            <w:shd w:val="clear" w:color="auto" w:fill="auto"/>
            <w:vAlign w:val="center"/>
          </w:tcPr>
          <w:p w14:paraId="42B0EC6F">
            <w:pPr>
              <w:jc w:val="center"/>
              <w:rPr>
                <w:rFonts w:hint="eastAsia" w:asciiTheme="minorEastAsia" w:hAnsiTheme="minorEastAsia" w:eastAsiaTheme="minorEastAsia" w:cstheme="minorEastAsia"/>
                <w:kern w:val="2"/>
                <w:sz w:val="24"/>
                <w:szCs w:val="24"/>
                <w:lang w:val="en-US" w:eastAsia="zh-CN" w:bidi="ar-SA"/>
              </w:rPr>
            </w:pPr>
          </w:p>
        </w:tc>
        <w:tc>
          <w:tcPr>
            <w:tcW w:w="1337" w:type="dxa"/>
            <w:shd w:val="clear" w:color="auto" w:fill="auto"/>
            <w:vAlign w:val="center"/>
          </w:tcPr>
          <w:p w14:paraId="64C3020A">
            <w:pPr>
              <w:ind w:left="0" w:leftChars="0" w:firstLine="0" w:firstLineChars="0"/>
              <w:jc w:val="center"/>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235</w:t>
            </w:r>
          </w:p>
        </w:tc>
        <w:tc>
          <w:tcPr>
            <w:tcW w:w="1338" w:type="dxa"/>
          </w:tcPr>
          <w:p w14:paraId="7EE2EB22">
            <w:pPr>
              <w:keepNext w:val="0"/>
              <w:keepLines w:val="0"/>
              <w:pageBreakBefore w:val="0"/>
              <w:widowControl/>
              <w:kinsoku/>
              <w:wordWrap w:val="0"/>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color w:val="000000"/>
                <w:kern w:val="0"/>
                <w:sz w:val="24"/>
                <w:szCs w:val="24"/>
                <w:vertAlign w:val="baseline"/>
              </w:rPr>
            </w:pPr>
          </w:p>
        </w:tc>
        <w:tc>
          <w:tcPr>
            <w:tcW w:w="1437" w:type="dxa"/>
            <w:vAlign w:val="center"/>
          </w:tcPr>
          <w:p w14:paraId="143B0E70">
            <w:pPr>
              <w:keepNext w:val="0"/>
              <w:keepLines w:val="0"/>
              <w:pageBreakBefore w:val="0"/>
              <w:widowControl/>
              <w:kinsoku/>
              <w:wordWrap w:val="0"/>
              <w:overflowPunct/>
              <w:topLinePunct w:val="0"/>
              <w:autoSpaceDE/>
              <w:autoSpaceDN/>
              <w:bidi w:val="0"/>
              <w:adjustRightInd/>
              <w:snapToGrid/>
              <w:spacing w:line="240" w:lineRule="auto"/>
              <w:jc w:val="center"/>
              <w:textAlignment w:val="auto"/>
              <w:rPr>
                <w:rFonts w:hint="eastAsia" w:asciiTheme="minorEastAsia" w:hAnsiTheme="minorEastAsia" w:eastAsiaTheme="minorEastAsia" w:cstheme="minorEastAsia"/>
                <w:color w:val="000000"/>
                <w:kern w:val="0"/>
                <w:sz w:val="24"/>
                <w:szCs w:val="24"/>
                <w:vertAlign w:val="baseline"/>
                <w:lang w:val="en-US" w:eastAsia="zh-CN"/>
              </w:rPr>
            </w:pPr>
          </w:p>
        </w:tc>
        <w:tc>
          <w:tcPr>
            <w:tcW w:w="1362" w:type="dxa"/>
            <w:vAlign w:val="center"/>
          </w:tcPr>
          <w:p w14:paraId="1374375F">
            <w:pPr>
              <w:keepNext w:val="0"/>
              <w:keepLines w:val="0"/>
              <w:pageBreakBefore w:val="0"/>
              <w:widowControl/>
              <w:kinsoku/>
              <w:wordWrap w:val="0"/>
              <w:overflowPunct/>
              <w:topLinePunct w:val="0"/>
              <w:autoSpaceDE/>
              <w:autoSpaceDN/>
              <w:bidi w:val="0"/>
              <w:adjustRightInd/>
              <w:snapToGrid/>
              <w:spacing w:line="240" w:lineRule="auto"/>
              <w:jc w:val="center"/>
              <w:textAlignment w:val="auto"/>
              <w:rPr>
                <w:rFonts w:hint="eastAsia" w:asciiTheme="minorEastAsia" w:hAnsiTheme="minorEastAsia" w:eastAsiaTheme="minorEastAsia" w:cstheme="minorEastAsia"/>
                <w:color w:val="000000"/>
                <w:kern w:val="0"/>
                <w:sz w:val="24"/>
                <w:szCs w:val="24"/>
                <w:vertAlign w:val="baseline"/>
              </w:rPr>
            </w:pPr>
          </w:p>
        </w:tc>
        <w:tc>
          <w:tcPr>
            <w:tcW w:w="1438" w:type="dxa"/>
            <w:vAlign w:val="center"/>
          </w:tcPr>
          <w:p w14:paraId="5E5C31A7">
            <w:pPr>
              <w:keepNext w:val="0"/>
              <w:keepLines w:val="0"/>
              <w:pageBreakBefore w:val="0"/>
              <w:widowControl/>
              <w:kinsoku/>
              <w:wordWrap w:val="0"/>
              <w:overflowPunct/>
              <w:topLinePunct w:val="0"/>
              <w:autoSpaceDE/>
              <w:autoSpaceDN/>
              <w:bidi w:val="0"/>
              <w:adjustRightInd/>
              <w:snapToGrid/>
              <w:spacing w:line="240" w:lineRule="auto"/>
              <w:jc w:val="center"/>
              <w:textAlignment w:val="auto"/>
              <w:rPr>
                <w:rFonts w:hint="eastAsia" w:asciiTheme="minorEastAsia" w:hAnsiTheme="minorEastAsia" w:eastAsiaTheme="minorEastAsia" w:cstheme="minorEastAsia"/>
                <w:color w:val="000000"/>
                <w:kern w:val="0"/>
                <w:sz w:val="24"/>
                <w:szCs w:val="24"/>
                <w:vertAlign w:val="baseline"/>
              </w:rPr>
            </w:pPr>
          </w:p>
        </w:tc>
      </w:tr>
      <w:tr w14:paraId="6C4D1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9" w:hRule="atLeast"/>
        </w:trPr>
        <w:tc>
          <w:tcPr>
            <w:tcW w:w="9125" w:type="dxa"/>
            <w:gridSpan w:val="7"/>
            <w:vAlign w:val="center"/>
          </w:tcPr>
          <w:p w14:paraId="149A2F0E">
            <w:pPr>
              <w:keepNext w:val="0"/>
              <w:keepLines w:val="0"/>
              <w:pageBreakBefore w:val="0"/>
              <w:widowControl/>
              <w:kinsoku/>
              <w:wordWrap w:val="0"/>
              <w:overflowPunct/>
              <w:topLinePunct w:val="0"/>
              <w:autoSpaceDE/>
              <w:autoSpaceDN/>
              <w:bidi w:val="0"/>
              <w:adjustRightInd/>
              <w:snapToGrid/>
              <w:spacing w:line="420" w:lineRule="exact"/>
              <w:jc w:val="left"/>
              <w:textAlignment w:val="auto"/>
              <w:rPr>
                <w:rFonts w:hint="eastAsia" w:asciiTheme="minorEastAsia" w:hAnsiTheme="minorEastAsia" w:eastAsiaTheme="minorEastAsia" w:cstheme="minorEastAsia"/>
                <w:color w:val="000000"/>
                <w:kern w:val="0"/>
                <w:sz w:val="24"/>
                <w:szCs w:val="24"/>
                <w:vertAlign w:val="baseline"/>
                <w:lang w:eastAsia="zh-CN"/>
              </w:rPr>
            </w:pPr>
            <w:r>
              <w:rPr>
                <w:rFonts w:hint="eastAsia" w:asciiTheme="minorEastAsia" w:hAnsiTheme="minorEastAsia" w:eastAsiaTheme="minorEastAsia" w:cstheme="minorEastAsia"/>
                <w:sz w:val="24"/>
                <w:szCs w:val="24"/>
              </w:rPr>
              <w:t>人民币金额（大写）：</w:t>
            </w:r>
            <w:r>
              <w:rPr>
                <w:rFonts w:hint="eastAsia" w:asciiTheme="minorEastAsia" w:hAnsiTheme="minorEastAsia" w:eastAsiaTheme="minorEastAsia" w:cstheme="minorEastAsia"/>
                <w:sz w:val="24"/>
                <w:szCs w:val="24"/>
                <w:lang w:eastAsia="zh-CN"/>
              </w:rPr>
              <w:t>轮入货款：</w:t>
            </w:r>
            <w:r>
              <w:rPr>
                <w:rFonts w:hint="eastAsia" w:asciiTheme="minorEastAsia" w:hAnsiTheme="minorEastAsia" w:eastAsiaTheme="minorEastAsia" w:cstheme="minorEastAsia"/>
                <w:sz w:val="24"/>
                <w:szCs w:val="24"/>
                <w:lang w:val="en-US" w:eastAsia="zh-CN"/>
              </w:rPr>
              <w:t xml:space="preserve">       </w:t>
            </w:r>
            <w:r>
              <w:rPr>
                <w:rFonts w:hint="eastAsia" w:asciiTheme="minorEastAsia" w:hAnsiTheme="minorEastAsia" w:eastAsiaTheme="minorEastAsia" w:cstheme="minorEastAsia"/>
                <w:sz w:val="24"/>
                <w:szCs w:val="24"/>
                <w:lang w:eastAsia="zh-CN"/>
              </w:rPr>
              <w:t>；轮出货款：</w:t>
            </w:r>
            <w:r>
              <w:rPr>
                <w:rFonts w:hint="eastAsia" w:eastAsiaTheme="minorEastAsia"/>
                <w:sz w:val="24"/>
                <w:szCs w:val="24"/>
                <w:lang w:val="en-US" w:eastAsia="zh-CN"/>
              </w:rPr>
              <w:t xml:space="preserve"> </w:t>
            </w:r>
          </w:p>
        </w:tc>
      </w:tr>
    </w:tbl>
    <w:p w14:paraId="7D7C473B">
      <w:pPr>
        <w:keepNext w:val="0"/>
        <w:keepLines w:val="0"/>
        <w:pageBreakBefore w:val="0"/>
        <w:kinsoku/>
        <w:overflowPunct/>
        <w:topLinePunct w:val="0"/>
        <w:autoSpaceDE/>
        <w:autoSpaceDN/>
        <w:bidi w:val="0"/>
        <w:adjustRightInd/>
        <w:snapToGrid/>
        <w:spacing w:line="460" w:lineRule="exact"/>
        <w:ind w:left="279" w:leftChars="133" w:firstLine="280" w:firstLineChars="100"/>
        <w:textAlignment w:val="auto"/>
        <w:rPr>
          <w:rFonts w:hint="eastAsia" w:asciiTheme="minorEastAsia" w:hAnsiTheme="minorEastAsia" w:eastAsiaTheme="minorEastAsia" w:cstheme="minorEastAsia"/>
          <w:sz w:val="28"/>
          <w:szCs w:val="28"/>
          <w:highlight w:val="none"/>
          <w:lang w:val="en-US" w:eastAsia="zh-CN"/>
        </w:rPr>
      </w:pPr>
      <w:r>
        <w:rPr>
          <w:rFonts w:hint="eastAsia" w:asciiTheme="minorEastAsia" w:hAnsiTheme="minorEastAsia" w:eastAsiaTheme="minorEastAsia" w:cstheme="minorEastAsia"/>
          <w:b w:val="0"/>
          <w:bCs/>
          <w:color w:val="000000"/>
          <w:kern w:val="0"/>
          <w:sz w:val="28"/>
          <w:szCs w:val="28"/>
          <w:lang w:val="en-US" w:eastAsia="zh-CN"/>
        </w:rPr>
        <w:t>备注：一级小包装成品大豆油</w:t>
      </w:r>
      <w:r>
        <w:rPr>
          <w:rFonts w:hint="eastAsia" w:asciiTheme="minorEastAsia" w:hAnsiTheme="minorEastAsia" w:eastAsiaTheme="minorEastAsia" w:cstheme="minorEastAsia"/>
          <w:sz w:val="28"/>
          <w:szCs w:val="28"/>
          <w:highlight w:val="none"/>
          <w:lang w:val="en-US" w:eastAsia="zh-CN"/>
        </w:rPr>
        <w:t>轮换差价成交价    元/吨，轮换数量为235吨。</w:t>
      </w:r>
    </w:p>
    <w:p w14:paraId="534B1AEA">
      <w:pPr>
        <w:keepNext w:val="0"/>
        <w:keepLines w:val="0"/>
        <w:pageBreakBefore w:val="0"/>
        <w:widowControl/>
        <w:kinsoku/>
        <w:wordWrap w:val="0"/>
        <w:overflowPunct/>
        <w:topLinePunct w:val="0"/>
        <w:autoSpaceDE/>
        <w:autoSpaceDN/>
        <w:bidi w:val="0"/>
        <w:adjustRightInd/>
        <w:snapToGrid/>
        <w:spacing w:line="460" w:lineRule="exact"/>
        <w:ind w:firstLine="560" w:firstLineChars="200"/>
        <w:textAlignment w:val="auto"/>
        <w:rPr>
          <w:rFonts w:hint="eastAsia" w:asciiTheme="minorEastAsia" w:hAnsiTheme="minorEastAsia" w:eastAsiaTheme="minorEastAsia" w:cstheme="minorEastAsia"/>
          <w:b w:val="0"/>
          <w:bCs/>
          <w:color w:val="000000"/>
          <w:kern w:val="0"/>
          <w:sz w:val="28"/>
          <w:szCs w:val="28"/>
        </w:rPr>
      </w:pPr>
      <w:r>
        <w:rPr>
          <w:rFonts w:hint="eastAsia" w:asciiTheme="minorEastAsia" w:hAnsiTheme="minorEastAsia" w:eastAsiaTheme="minorEastAsia" w:cstheme="minorEastAsia"/>
          <w:b w:val="0"/>
          <w:bCs/>
          <w:color w:val="000000"/>
          <w:kern w:val="0"/>
          <w:sz w:val="28"/>
          <w:szCs w:val="28"/>
        </w:rPr>
        <w:t>二、质量</w:t>
      </w:r>
      <w:r>
        <w:rPr>
          <w:rFonts w:hint="eastAsia" w:asciiTheme="minorEastAsia" w:hAnsiTheme="minorEastAsia" w:eastAsiaTheme="minorEastAsia" w:cstheme="minorEastAsia"/>
          <w:b w:val="0"/>
          <w:bCs/>
          <w:color w:val="000000"/>
          <w:kern w:val="0"/>
          <w:sz w:val="28"/>
          <w:szCs w:val="28"/>
          <w:lang w:eastAsia="zh-CN"/>
        </w:rPr>
        <w:t>、生产日期</w:t>
      </w:r>
      <w:r>
        <w:rPr>
          <w:rFonts w:hint="eastAsia" w:asciiTheme="minorEastAsia" w:hAnsiTheme="minorEastAsia" w:eastAsiaTheme="minorEastAsia" w:cstheme="minorEastAsia"/>
          <w:b w:val="0"/>
          <w:bCs/>
          <w:color w:val="000000"/>
          <w:kern w:val="0"/>
          <w:sz w:val="28"/>
          <w:szCs w:val="28"/>
        </w:rPr>
        <w:t>及包装等要求</w:t>
      </w:r>
    </w:p>
    <w:p w14:paraId="689A56FE">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left"/>
        <w:textAlignment w:val="auto"/>
        <w:rPr>
          <w:rFonts w:hint="eastAsia" w:asciiTheme="minorEastAsia" w:hAnsiTheme="minorEastAsia" w:eastAsiaTheme="minorEastAsia" w:cstheme="minorEastAsia"/>
          <w:bCs/>
          <w:color w:val="000000"/>
          <w:kern w:val="0"/>
          <w:sz w:val="28"/>
          <w:szCs w:val="28"/>
          <w:lang w:val="en-US" w:eastAsia="zh-CN"/>
        </w:rPr>
      </w:pPr>
      <w:r>
        <w:rPr>
          <w:rFonts w:hint="eastAsia" w:asciiTheme="minorEastAsia" w:hAnsiTheme="minorEastAsia" w:eastAsiaTheme="minorEastAsia" w:cstheme="minorEastAsia"/>
          <w:bCs/>
          <w:color w:val="000000"/>
          <w:kern w:val="0"/>
          <w:sz w:val="28"/>
          <w:szCs w:val="28"/>
          <w:lang w:val="en-US" w:eastAsia="zh-CN"/>
        </w:rPr>
        <w:t>1、轮出标的物：2024年12月份生产的“钱江绿农”一级小包装成品大豆油235吨（12786箱、每箱5升*4瓶，密度按0.919kg/L计），标的物具体质量情况以甲方储存库点仓库</w:t>
      </w:r>
      <w:bookmarkStart w:id="0" w:name="_GoBack"/>
      <w:bookmarkEnd w:id="0"/>
      <w:r>
        <w:rPr>
          <w:rFonts w:hint="eastAsia" w:asciiTheme="minorEastAsia" w:hAnsiTheme="minorEastAsia" w:eastAsiaTheme="minorEastAsia" w:cstheme="minorEastAsia"/>
          <w:bCs/>
          <w:color w:val="000000"/>
          <w:kern w:val="0"/>
          <w:sz w:val="28"/>
          <w:szCs w:val="28"/>
          <w:lang w:val="en-US" w:eastAsia="zh-CN"/>
        </w:rPr>
        <w:t>实物为准，乙方在签订合同时已认同该标的物的质量，甲方提供第三方粮油质量检验机构出具的统仓检验报告。</w:t>
      </w:r>
    </w:p>
    <w:p w14:paraId="10C0F0D1">
      <w:pPr>
        <w:keepNext w:val="0"/>
        <w:keepLines w:val="0"/>
        <w:pageBreakBefore w:val="0"/>
        <w:widowControl w:val="0"/>
        <w:numPr>
          <w:ilvl w:val="0"/>
          <w:numId w:val="1"/>
        </w:numPr>
        <w:kinsoku/>
        <w:wordWrap/>
        <w:overflowPunct/>
        <w:topLinePunct w:val="0"/>
        <w:autoSpaceDE/>
        <w:autoSpaceDN/>
        <w:bidi w:val="0"/>
        <w:adjustRightInd/>
        <w:snapToGrid/>
        <w:spacing w:line="460" w:lineRule="exact"/>
        <w:ind w:firstLine="560" w:firstLineChars="200"/>
        <w:jc w:val="left"/>
        <w:textAlignment w:val="auto"/>
        <w:rPr>
          <w:rFonts w:hint="eastAsia" w:asciiTheme="minorEastAsia" w:hAnsiTheme="minorEastAsia" w:eastAsiaTheme="minorEastAsia" w:cstheme="minorEastAsia"/>
          <w:bCs/>
          <w:color w:val="000000"/>
          <w:kern w:val="0"/>
          <w:sz w:val="28"/>
          <w:szCs w:val="28"/>
          <w:lang w:val="en-US" w:eastAsia="zh-CN"/>
        </w:rPr>
      </w:pPr>
      <w:r>
        <w:rPr>
          <w:rFonts w:hint="eastAsia" w:asciiTheme="minorEastAsia" w:hAnsiTheme="minorEastAsia" w:eastAsiaTheme="minorEastAsia" w:cstheme="minorEastAsia"/>
          <w:bCs/>
          <w:color w:val="000000"/>
          <w:kern w:val="0"/>
          <w:sz w:val="28"/>
          <w:szCs w:val="28"/>
          <w:lang w:val="en-US" w:eastAsia="zh-CN"/>
        </w:rPr>
        <w:t>轮入标的物：2025年11月19日及以后生产的一级小包装成品大豆油235吨（12786箱、每箱5升*4瓶，密度按0.919kg/L计），品牌为     ，同一标段须同一品牌、同一产地、同一日期生产或同一批次生产。需另加1箱供检测（不计价）。</w:t>
      </w:r>
    </w:p>
    <w:p w14:paraId="482E9CCF">
      <w:pPr>
        <w:keepNext w:val="0"/>
        <w:keepLines w:val="0"/>
        <w:pageBreakBefore w:val="0"/>
        <w:widowControl w:val="0"/>
        <w:numPr>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Theme="minorEastAsia" w:hAnsiTheme="minorEastAsia" w:eastAsiaTheme="minorEastAsia" w:cstheme="minorEastAsia"/>
          <w:bCs/>
          <w:color w:val="000000"/>
          <w:kern w:val="0"/>
          <w:sz w:val="28"/>
          <w:szCs w:val="28"/>
          <w:lang w:val="en-US" w:eastAsia="zh-CN"/>
        </w:rPr>
      </w:pPr>
      <w:r>
        <w:rPr>
          <w:rFonts w:hint="eastAsia" w:asciiTheme="minorEastAsia" w:hAnsiTheme="minorEastAsia" w:eastAsiaTheme="minorEastAsia" w:cstheme="minorEastAsia"/>
          <w:bCs/>
          <w:color w:val="000000"/>
          <w:kern w:val="0"/>
          <w:sz w:val="28"/>
          <w:szCs w:val="28"/>
          <w:lang w:val="en-US" w:eastAsia="zh-CN"/>
        </w:rPr>
        <w:t>3、轮入质量要求:质量指标符合《大豆油》（GB/T1535-2017）一级标准，食品安全指标符合《食品安全国家标准 植物油》（GB2716-2018）及国家有关规定；保质期18个月。</w:t>
      </w:r>
    </w:p>
    <w:p w14:paraId="4780F96A">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left"/>
        <w:textAlignment w:val="auto"/>
        <w:rPr>
          <w:rFonts w:hint="eastAsia" w:asciiTheme="minorEastAsia" w:hAnsiTheme="minorEastAsia" w:eastAsiaTheme="minorEastAsia" w:cstheme="minorEastAsia"/>
          <w:bCs/>
          <w:color w:val="000000"/>
          <w:kern w:val="0"/>
          <w:sz w:val="28"/>
          <w:szCs w:val="28"/>
          <w:lang w:val="en-US" w:eastAsia="zh-CN"/>
        </w:rPr>
      </w:pPr>
      <w:r>
        <w:rPr>
          <w:rFonts w:hint="eastAsia" w:asciiTheme="minorEastAsia" w:hAnsiTheme="minorEastAsia" w:eastAsiaTheme="minorEastAsia" w:cstheme="minorEastAsia"/>
          <w:bCs/>
          <w:color w:val="000000"/>
          <w:kern w:val="0"/>
          <w:sz w:val="28"/>
          <w:szCs w:val="28"/>
          <w:lang w:val="en-US" w:eastAsia="zh-CN"/>
        </w:rPr>
        <w:t>4、轮入包装要求：包装须符合《食用植物油销售包装》（GB/T 17374-2024）及国家有关规定，标签标识符合《食品安全国家标准 预包装食品标签通则》（GB 7718-2011）及国家有关规定，包装完好。规格要求每箱5升*4瓶，同一标段须使用同一包装物和标签标识，包装纸箱不计价不计量。仓房内堆装按5箱的高度垂直堆放，预计储存时间为一年；要求乙方交割的大豆油的内、外包装须有足够的承载能力和平整度，若因承载能力或平整度不足发生倒桩等储存安全事故，一切责任由乙方承担。</w:t>
      </w:r>
    </w:p>
    <w:p w14:paraId="5537FA9A">
      <w:pPr>
        <w:keepNext w:val="0"/>
        <w:keepLines w:val="0"/>
        <w:pageBreakBefore w:val="0"/>
        <w:widowControl/>
        <w:kinsoku/>
        <w:wordWrap w:val="0"/>
        <w:overflowPunct/>
        <w:topLinePunct w:val="0"/>
        <w:autoSpaceDE/>
        <w:autoSpaceDN/>
        <w:bidi w:val="0"/>
        <w:adjustRightInd/>
        <w:snapToGrid/>
        <w:spacing w:line="460" w:lineRule="exact"/>
        <w:ind w:firstLine="560" w:firstLineChars="200"/>
        <w:textAlignment w:val="auto"/>
        <w:rPr>
          <w:rFonts w:hint="eastAsia" w:asciiTheme="minorEastAsia" w:hAnsiTheme="minorEastAsia" w:eastAsiaTheme="minorEastAsia" w:cstheme="minorEastAsia"/>
          <w:b w:val="0"/>
          <w:bCs/>
          <w:color w:val="000000"/>
          <w:kern w:val="0"/>
          <w:sz w:val="28"/>
          <w:szCs w:val="28"/>
          <w:lang w:val="en-US" w:eastAsia="zh-CN"/>
        </w:rPr>
      </w:pPr>
      <w:r>
        <w:rPr>
          <w:rFonts w:hint="eastAsia" w:asciiTheme="minorEastAsia" w:hAnsiTheme="minorEastAsia" w:eastAsiaTheme="minorEastAsia" w:cstheme="minorEastAsia"/>
          <w:b w:val="0"/>
          <w:bCs/>
          <w:color w:val="000000"/>
          <w:kern w:val="0"/>
          <w:sz w:val="28"/>
          <w:szCs w:val="28"/>
        </w:rPr>
        <w:t>三、</w:t>
      </w:r>
      <w:r>
        <w:rPr>
          <w:rFonts w:hint="eastAsia" w:asciiTheme="minorEastAsia" w:hAnsiTheme="minorEastAsia" w:eastAsiaTheme="minorEastAsia" w:cstheme="minorEastAsia"/>
          <w:b w:val="0"/>
          <w:bCs/>
          <w:color w:val="000000"/>
          <w:kern w:val="0"/>
          <w:sz w:val="28"/>
          <w:szCs w:val="28"/>
          <w:lang w:val="en-US" w:eastAsia="zh-CN"/>
        </w:rPr>
        <w:t>轮换方式、时间及地点</w:t>
      </w:r>
    </w:p>
    <w:p w14:paraId="5933B4FD">
      <w:pPr>
        <w:keepNext w:val="0"/>
        <w:keepLines w:val="0"/>
        <w:pageBreakBefore w:val="0"/>
        <w:widowControl/>
        <w:kinsoku/>
        <w:wordWrap w:val="0"/>
        <w:overflowPunct/>
        <w:topLinePunct w:val="0"/>
        <w:autoSpaceDE/>
        <w:autoSpaceDN/>
        <w:bidi w:val="0"/>
        <w:adjustRightInd/>
        <w:snapToGrid/>
        <w:spacing w:line="460" w:lineRule="exact"/>
        <w:ind w:firstLine="560" w:firstLineChars="200"/>
        <w:textAlignment w:val="auto"/>
        <w:rPr>
          <w:rFonts w:hint="eastAsia" w:asciiTheme="minorEastAsia" w:hAnsiTheme="minorEastAsia" w:eastAsiaTheme="minorEastAsia" w:cstheme="minorEastAsia"/>
          <w:b w:val="0"/>
          <w:bCs/>
          <w:color w:val="000000"/>
          <w:kern w:val="0"/>
          <w:sz w:val="28"/>
          <w:szCs w:val="28"/>
          <w:lang w:val="en-US" w:eastAsia="zh-CN"/>
        </w:rPr>
      </w:pPr>
      <w:r>
        <w:rPr>
          <w:rFonts w:hint="eastAsia" w:asciiTheme="minorEastAsia" w:hAnsiTheme="minorEastAsia" w:eastAsiaTheme="minorEastAsia" w:cstheme="minorEastAsia"/>
          <w:b w:val="0"/>
          <w:bCs/>
          <w:color w:val="000000"/>
          <w:kern w:val="0"/>
          <w:sz w:val="28"/>
          <w:szCs w:val="28"/>
          <w:lang w:val="en-US" w:eastAsia="zh-CN"/>
        </w:rPr>
        <w:t>1、轮换方式：大豆油轮换采用轮换差价竞价的方式确定合作单位，轮换要求大豆油先轮入进库后再轮换出库。入库交货方式为送货制，由乙方负责将大豆油运送至甲方指定仓库内，并按甲方要求堆放整齐，送货过程中产生的一切费用和风险由乙方自行承担。轮入标的物入库堆放完成并经有资质的第三方粮油质量检验机构检测合格后，方可进行轮出标的物的提货出库工作，先付款后提货。出库提货方式为由乙方在甲方指定仓库内自行提货，自提过程中产生的一切费用和风险由乙方自行承担。</w:t>
      </w:r>
    </w:p>
    <w:p w14:paraId="4F51C11D">
      <w:pPr>
        <w:keepNext w:val="0"/>
        <w:keepLines w:val="0"/>
        <w:pageBreakBefore w:val="0"/>
        <w:widowControl/>
        <w:kinsoku/>
        <w:wordWrap w:val="0"/>
        <w:overflowPunct/>
        <w:topLinePunct w:val="0"/>
        <w:autoSpaceDE/>
        <w:autoSpaceDN/>
        <w:bidi w:val="0"/>
        <w:adjustRightInd/>
        <w:snapToGrid/>
        <w:spacing w:line="460" w:lineRule="exact"/>
        <w:ind w:firstLine="560" w:firstLineChars="200"/>
        <w:textAlignment w:val="auto"/>
        <w:rPr>
          <w:rFonts w:hint="eastAsia" w:asciiTheme="minorEastAsia" w:hAnsiTheme="minorEastAsia" w:eastAsiaTheme="minorEastAsia" w:cstheme="minorEastAsia"/>
          <w:b w:val="0"/>
          <w:bCs/>
          <w:color w:val="000000"/>
          <w:kern w:val="0"/>
          <w:sz w:val="28"/>
          <w:szCs w:val="28"/>
          <w:lang w:val="en-US" w:eastAsia="zh-CN"/>
        </w:rPr>
      </w:pPr>
      <w:r>
        <w:rPr>
          <w:rFonts w:hint="eastAsia" w:asciiTheme="minorEastAsia" w:hAnsiTheme="minorEastAsia" w:eastAsiaTheme="minorEastAsia" w:cstheme="minorEastAsia"/>
          <w:b w:val="0"/>
          <w:bCs/>
          <w:color w:val="000000"/>
          <w:kern w:val="0"/>
          <w:sz w:val="28"/>
          <w:szCs w:val="28"/>
          <w:lang w:val="en-US" w:eastAsia="zh-CN"/>
        </w:rPr>
        <w:t>2、轮换时间</w:t>
      </w:r>
    </w:p>
    <w:p w14:paraId="022DD4DA">
      <w:pPr>
        <w:keepNext w:val="0"/>
        <w:keepLines w:val="0"/>
        <w:pageBreakBefore w:val="0"/>
        <w:widowControl/>
        <w:kinsoku/>
        <w:wordWrap w:val="0"/>
        <w:overflowPunct/>
        <w:topLinePunct w:val="0"/>
        <w:autoSpaceDE/>
        <w:autoSpaceDN/>
        <w:bidi w:val="0"/>
        <w:adjustRightInd/>
        <w:snapToGrid/>
        <w:spacing w:line="460" w:lineRule="exact"/>
        <w:ind w:firstLine="560" w:firstLineChars="200"/>
        <w:textAlignment w:val="auto"/>
        <w:rPr>
          <w:rFonts w:hint="eastAsia" w:asciiTheme="minorEastAsia" w:hAnsiTheme="minorEastAsia" w:eastAsiaTheme="minorEastAsia" w:cstheme="minorEastAsia"/>
          <w:b w:val="0"/>
          <w:bCs/>
          <w:color w:val="000000"/>
          <w:kern w:val="0"/>
          <w:sz w:val="28"/>
          <w:szCs w:val="28"/>
          <w:lang w:val="en-US" w:eastAsia="zh-CN"/>
        </w:rPr>
      </w:pPr>
      <w:r>
        <w:rPr>
          <w:rFonts w:hint="eastAsia" w:asciiTheme="minorEastAsia" w:hAnsiTheme="minorEastAsia" w:eastAsiaTheme="minorEastAsia" w:cstheme="minorEastAsia"/>
          <w:b w:val="0"/>
          <w:bCs/>
          <w:color w:val="000000"/>
          <w:kern w:val="0"/>
          <w:sz w:val="28"/>
          <w:szCs w:val="28"/>
          <w:lang w:val="en-US" w:eastAsia="zh-CN"/>
        </w:rPr>
        <w:t>（1）轮入标的物须在2025年12月2日前完成交货入库。如乙方未按约定时间完成交货，则视为乙方违约，甲方有权对逾期合同单方面终止，乙方缴纳的履约保证金抵作违约金支付给甲方。</w:t>
      </w:r>
    </w:p>
    <w:p w14:paraId="2F936552">
      <w:pPr>
        <w:keepNext w:val="0"/>
        <w:keepLines w:val="0"/>
        <w:pageBreakBefore w:val="0"/>
        <w:widowControl/>
        <w:kinsoku/>
        <w:wordWrap w:val="0"/>
        <w:overflowPunct/>
        <w:topLinePunct w:val="0"/>
        <w:autoSpaceDE/>
        <w:autoSpaceDN/>
        <w:bidi w:val="0"/>
        <w:adjustRightInd/>
        <w:snapToGrid/>
        <w:spacing w:line="460" w:lineRule="exact"/>
        <w:ind w:firstLine="560" w:firstLineChars="200"/>
        <w:textAlignment w:val="auto"/>
        <w:rPr>
          <w:rFonts w:hint="eastAsia" w:asciiTheme="minorEastAsia" w:hAnsiTheme="minorEastAsia" w:eastAsiaTheme="minorEastAsia" w:cstheme="minorEastAsia"/>
          <w:b w:val="0"/>
          <w:bCs/>
          <w:color w:val="000000"/>
          <w:kern w:val="0"/>
          <w:sz w:val="28"/>
          <w:szCs w:val="28"/>
          <w:lang w:val="en-US" w:eastAsia="zh-CN"/>
        </w:rPr>
      </w:pPr>
      <w:r>
        <w:rPr>
          <w:rFonts w:hint="eastAsia" w:asciiTheme="minorEastAsia" w:hAnsiTheme="minorEastAsia" w:eastAsiaTheme="minorEastAsia" w:cstheme="minorEastAsia"/>
          <w:b w:val="0"/>
          <w:bCs/>
          <w:color w:val="000000"/>
          <w:kern w:val="0"/>
          <w:sz w:val="28"/>
          <w:szCs w:val="28"/>
          <w:lang w:val="en-US" w:eastAsia="zh-CN"/>
        </w:rPr>
        <w:t xml:space="preserve">（2）轮出标的物须在2025年12月15日前完成提货出库。如乙方在规定期限内未提货完毕，尚未提清的标的物风险全部转移至乙方，甲方不承担任何责任，由此造成的损失与责任均由乙方承担，同时甲方对尚未提清的标的物收取仓库占用费（按尚未提清的标的物相对应的货款结算利息，以农发行现行一年期贷款利率计算）；若影响甲方业务工作开展，甲方有权作转仓等相关处理，所产生的运费、仓储费等费用均由乙方负责，并承担因此而造成的其他实际损失。甲方有权对逾期合同单方面终止，并对合同中的标的物享有处置权。     </w:t>
      </w:r>
    </w:p>
    <w:p w14:paraId="5AF50B88">
      <w:pPr>
        <w:keepNext w:val="0"/>
        <w:keepLines w:val="0"/>
        <w:pageBreakBefore w:val="0"/>
        <w:widowControl/>
        <w:kinsoku/>
        <w:wordWrap w:val="0"/>
        <w:overflowPunct/>
        <w:topLinePunct w:val="0"/>
        <w:autoSpaceDE/>
        <w:autoSpaceDN/>
        <w:bidi w:val="0"/>
        <w:adjustRightInd/>
        <w:snapToGrid/>
        <w:spacing w:line="460" w:lineRule="exact"/>
        <w:ind w:firstLine="560" w:firstLineChars="200"/>
        <w:textAlignment w:val="auto"/>
        <w:rPr>
          <w:rFonts w:hint="eastAsia" w:asciiTheme="minorEastAsia" w:hAnsiTheme="minorEastAsia" w:eastAsiaTheme="minorEastAsia" w:cstheme="minorEastAsia"/>
          <w:b w:val="0"/>
          <w:bCs/>
          <w:color w:val="000000"/>
          <w:kern w:val="0"/>
          <w:sz w:val="28"/>
          <w:szCs w:val="28"/>
          <w:highlight w:val="none"/>
          <w:lang w:val="en-US" w:eastAsia="zh-CN"/>
        </w:rPr>
      </w:pPr>
      <w:r>
        <w:rPr>
          <w:rFonts w:hint="eastAsia" w:asciiTheme="minorEastAsia" w:hAnsiTheme="minorEastAsia" w:eastAsiaTheme="minorEastAsia" w:cstheme="minorEastAsia"/>
          <w:b w:val="0"/>
          <w:bCs/>
          <w:color w:val="000000"/>
          <w:kern w:val="0"/>
          <w:sz w:val="28"/>
          <w:szCs w:val="28"/>
          <w:lang w:val="en-US" w:eastAsia="zh-CN"/>
        </w:rPr>
        <w:t>3、轮换地点：轮入地点为甲方云楼粮站0801号仓；轮出地点为甲方云楼粮站0805号仓。</w:t>
      </w:r>
    </w:p>
    <w:p w14:paraId="66B2C302">
      <w:pPr>
        <w:keepNext w:val="0"/>
        <w:keepLines w:val="0"/>
        <w:pageBreakBefore w:val="0"/>
        <w:widowControl/>
        <w:kinsoku/>
        <w:wordWrap w:val="0"/>
        <w:overflowPunct/>
        <w:topLinePunct w:val="0"/>
        <w:autoSpaceDE/>
        <w:autoSpaceDN/>
        <w:bidi w:val="0"/>
        <w:adjustRightInd/>
        <w:snapToGrid/>
        <w:spacing w:line="460" w:lineRule="exact"/>
        <w:ind w:firstLine="560" w:firstLineChars="200"/>
        <w:textAlignment w:val="auto"/>
        <w:rPr>
          <w:rFonts w:hint="eastAsia" w:asciiTheme="minorEastAsia" w:hAnsiTheme="minorEastAsia" w:eastAsiaTheme="minorEastAsia" w:cstheme="minorEastAsia"/>
          <w:b w:val="0"/>
          <w:bCs/>
          <w:color w:val="000000"/>
          <w:kern w:val="0"/>
          <w:sz w:val="28"/>
          <w:szCs w:val="28"/>
        </w:rPr>
      </w:pPr>
      <w:r>
        <w:rPr>
          <w:rFonts w:hint="eastAsia" w:asciiTheme="minorEastAsia" w:hAnsiTheme="minorEastAsia" w:eastAsiaTheme="minorEastAsia" w:cstheme="minorEastAsia"/>
          <w:b w:val="0"/>
          <w:bCs/>
          <w:color w:val="000000"/>
          <w:kern w:val="0"/>
          <w:sz w:val="28"/>
          <w:szCs w:val="28"/>
          <w:lang w:val="en-US" w:eastAsia="zh-CN"/>
        </w:rPr>
        <w:t>四</w:t>
      </w:r>
      <w:r>
        <w:rPr>
          <w:rFonts w:hint="eastAsia" w:asciiTheme="minorEastAsia" w:hAnsiTheme="minorEastAsia" w:eastAsiaTheme="minorEastAsia" w:cstheme="minorEastAsia"/>
          <w:b w:val="0"/>
          <w:bCs/>
          <w:color w:val="000000"/>
          <w:kern w:val="0"/>
          <w:sz w:val="28"/>
          <w:szCs w:val="28"/>
        </w:rPr>
        <w:t>、验收办法</w:t>
      </w:r>
    </w:p>
    <w:p w14:paraId="56B60589">
      <w:pPr>
        <w:keepNext w:val="0"/>
        <w:keepLines w:val="0"/>
        <w:pageBreakBefore w:val="0"/>
        <w:widowControl/>
        <w:kinsoku/>
        <w:wordWrap w:val="0"/>
        <w:overflowPunct/>
        <w:topLinePunct w:val="0"/>
        <w:autoSpaceDE/>
        <w:autoSpaceDN/>
        <w:bidi w:val="0"/>
        <w:adjustRightInd/>
        <w:snapToGrid/>
        <w:spacing w:line="460" w:lineRule="exact"/>
        <w:ind w:firstLine="560" w:firstLineChars="200"/>
        <w:textAlignment w:val="auto"/>
        <w:rPr>
          <w:rFonts w:hint="eastAsia" w:asciiTheme="minorEastAsia" w:hAnsiTheme="minorEastAsia" w:eastAsiaTheme="minorEastAsia" w:cstheme="minorEastAsia"/>
          <w:b w:val="0"/>
          <w:bCs/>
          <w:color w:val="000000"/>
          <w:kern w:val="0"/>
          <w:sz w:val="28"/>
          <w:szCs w:val="28"/>
        </w:rPr>
      </w:pPr>
      <w:r>
        <w:rPr>
          <w:rFonts w:hint="eastAsia" w:asciiTheme="minorEastAsia" w:hAnsiTheme="minorEastAsia" w:eastAsiaTheme="minorEastAsia" w:cstheme="minorEastAsia"/>
          <w:b w:val="0"/>
          <w:bCs/>
          <w:color w:val="000000"/>
          <w:kern w:val="0"/>
          <w:sz w:val="28"/>
          <w:szCs w:val="28"/>
        </w:rPr>
        <w:t>1、数量验收：出入库数量由出入库地仓内点件为准，双方应认真清点大豆油数量及抽样开箱检验，检查包装是否完好，必要时进行过磅校验。</w:t>
      </w:r>
      <w:r>
        <w:rPr>
          <w:rFonts w:hint="eastAsia" w:asciiTheme="minorEastAsia" w:hAnsiTheme="minorEastAsia" w:eastAsiaTheme="minorEastAsia" w:cstheme="minorEastAsia"/>
          <w:b w:val="0"/>
          <w:bCs/>
          <w:color w:val="000000"/>
          <w:kern w:val="0"/>
          <w:sz w:val="28"/>
          <w:szCs w:val="28"/>
          <w:lang w:eastAsia="zh-CN"/>
        </w:rPr>
        <w:t>乙方</w:t>
      </w:r>
      <w:r>
        <w:rPr>
          <w:rFonts w:hint="eastAsia" w:asciiTheme="minorEastAsia" w:hAnsiTheme="minorEastAsia" w:eastAsiaTheme="minorEastAsia" w:cstheme="minorEastAsia"/>
          <w:b w:val="0"/>
          <w:bCs/>
          <w:color w:val="000000"/>
          <w:kern w:val="0"/>
          <w:sz w:val="28"/>
          <w:szCs w:val="28"/>
        </w:rPr>
        <w:t>交货或提货时，应派员（</w:t>
      </w:r>
      <w:r>
        <w:rPr>
          <w:rFonts w:hint="eastAsia" w:asciiTheme="minorEastAsia" w:hAnsiTheme="minorEastAsia" w:eastAsiaTheme="minorEastAsia" w:cstheme="minorEastAsia"/>
          <w:b w:val="0"/>
          <w:bCs/>
          <w:color w:val="000000"/>
          <w:kern w:val="0"/>
          <w:sz w:val="28"/>
          <w:szCs w:val="28"/>
          <w:lang w:eastAsia="zh-CN"/>
        </w:rPr>
        <w:t>乙方</w:t>
      </w:r>
      <w:r>
        <w:rPr>
          <w:rFonts w:hint="eastAsia" w:asciiTheme="minorEastAsia" w:hAnsiTheme="minorEastAsia" w:eastAsiaTheme="minorEastAsia" w:cstheme="minorEastAsia"/>
          <w:b w:val="0"/>
          <w:bCs/>
          <w:color w:val="000000"/>
          <w:kern w:val="0"/>
          <w:sz w:val="28"/>
          <w:szCs w:val="28"/>
        </w:rPr>
        <w:t>出具委托函）到指定库点确认数量并协调出入库事宜，如不派员视同认可。</w:t>
      </w:r>
    </w:p>
    <w:p w14:paraId="5340A51C">
      <w:pPr>
        <w:keepNext w:val="0"/>
        <w:keepLines w:val="0"/>
        <w:pageBreakBefore w:val="0"/>
        <w:widowControl/>
        <w:kinsoku/>
        <w:wordWrap w:val="0"/>
        <w:overflowPunct/>
        <w:topLinePunct w:val="0"/>
        <w:autoSpaceDE/>
        <w:autoSpaceDN/>
        <w:bidi w:val="0"/>
        <w:adjustRightInd/>
        <w:snapToGrid/>
        <w:spacing w:line="460" w:lineRule="exact"/>
        <w:ind w:firstLine="560" w:firstLineChars="200"/>
        <w:textAlignment w:val="auto"/>
        <w:rPr>
          <w:rFonts w:hint="eastAsia" w:asciiTheme="minorEastAsia" w:hAnsiTheme="minorEastAsia" w:eastAsiaTheme="minorEastAsia" w:cstheme="minorEastAsia"/>
          <w:b w:val="0"/>
          <w:bCs/>
          <w:color w:val="000000"/>
          <w:kern w:val="0"/>
          <w:sz w:val="28"/>
          <w:szCs w:val="28"/>
        </w:rPr>
      </w:pPr>
      <w:r>
        <w:rPr>
          <w:rFonts w:hint="eastAsia" w:asciiTheme="minorEastAsia" w:hAnsiTheme="minorEastAsia" w:eastAsiaTheme="minorEastAsia" w:cstheme="minorEastAsia"/>
          <w:b w:val="0"/>
          <w:bCs/>
          <w:color w:val="000000"/>
          <w:kern w:val="0"/>
          <w:sz w:val="28"/>
          <w:szCs w:val="28"/>
        </w:rPr>
        <w:t>2、质量验收：</w:t>
      </w:r>
      <w:r>
        <w:rPr>
          <w:rFonts w:hint="eastAsia" w:asciiTheme="minorEastAsia" w:hAnsiTheme="minorEastAsia" w:eastAsiaTheme="minorEastAsia" w:cstheme="minorEastAsia"/>
          <w:b w:val="0"/>
          <w:bCs/>
          <w:color w:val="000000"/>
          <w:kern w:val="0"/>
          <w:sz w:val="28"/>
          <w:szCs w:val="28"/>
          <w:lang w:eastAsia="zh-CN"/>
        </w:rPr>
        <w:t>乙方</w:t>
      </w:r>
      <w:r>
        <w:rPr>
          <w:rFonts w:hint="eastAsia" w:asciiTheme="minorEastAsia" w:hAnsiTheme="minorEastAsia" w:eastAsiaTheme="minorEastAsia" w:cstheme="minorEastAsia"/>
          <w:b w:val="0"/>
          <w:bCs/>
          <w:color w:val="000000"/>
          <w:kern w:val="0"/>
          <w:sz w:val="28"/>
          <w:szCs w:val="28"/>
        </w:rPr>
        <w:t>对交货的大豆油质量负全责。交货前</w:t>
      </w:r>
      <w:r>
        <w:rPr>
          <w:rFonts w:hint="eastAsia" w:asciiTheme="minorEastAsia" w:hAnsiTheme="minorEastAsia" w:eastAsiaTheme="minorEastAsia" w:cstheme="minorEastAsia"/>
          <w:b w:val="0"/>
          <w:bCs/>
          <w:color w:val="000000"/>
          <w:kern w:val="0"/>
          <w:sz w:val="28"/>
          <w:szCs w:val="28"/>
          <w:lang w:eastAsia="zh-CN"/>
        </w:rPr>
        <w:t>乙方</w:t>
      </w:r>
      <w:r>
        <w:rPr>
          <w:rFonts w:hint="eastAsia" w:asciiTheme="minorEastAsia" w:hAnsiTheme="minorEastAsia" w:eastAsiaTheme="minorEastAsia" w:cstheme="minorEastAsia"/>
          <w:b w:val="0"/>
          <w:bCs/>
          <w:color w:val="000000"/>
          <w:kern w:val="0"/>
          <w:sz w:val="28"/>
          <w:szCs w:val="28"/>
        </w:rPr>
        <w:t>需向</w:t>
      </w:r>
      <w:r>
        <w:rPr>
          <w:rFonts w:hint="eastAsia" w:asciiTheme="minorEastAsia" w:hAnsiTheme="minorEastAsia" w:eastAsiaTheme="minorEastAsia" w:cstheme="minorEastAsia"/>
          <w:b w:val="0"/>
          <w:bCs/>
          <w:color w:val="000000"/>
          <w:kern w:val="0"/>
          <w:sz w:val="28"/>
          <w:szCs w:val="28"/>
          <w:lang w:eastAsia="zh-CN"/>
        </w:rPr>
        <w:t>甲方</w:t>
      </w:r>
      <w:r>
        <w:rPr>
          <w:rFonts w:hint="eastAsia" w:asciiTheme="minorEastAsia" w:hAnsiTheme="minorEastAsia" w:eastAsiaTheme="minorEastAsia" w:cstheme="minorEastAsia"/>
          <w:b w:val="0"/>
          <w:bCs/>
          <w:color w:val="000000"/>
          <w:kern w:val="0"/>
          <w:sz w:val="28"/>
          <w:szCs w:val="28"/>
        </w:rPr>
        <w:t>提交该批次大豆油出厂合格质检报告和合法进货渠道证明；交货完成后，</w:t>
      </w:r>
      <w:r>
        <w:rPr>
          <w:rFonts w:hint="eastAsia" w:asciiTheme="minorEastAsia" w:hAnsiTheme="minorEastAsia" w:eastAsiaTheme="minorEastAsia" w:cstheme="minorEastAsia"/>
          <w:b w:val="0"/>
          <w:bCs/>
          <w:color w:val="000000"/>
          <w:kern w:val="0"/>
          <w:sz w:val="28"/>
          <w:szCs w:val="28"/>
          <w:lang w:eastAsia="zh-CN"/>
        </w:rPr>
        <w:t>甲方</w:t>
      </w:r>
      <w:r>
        <w:rPr>
          <w:rFonts w:hint="eastAsia" w:asciiTheme="minorEastAsia" w:hAnsiTheme="minorEastAsia" w:eastAsiaTheme="minorEastAsia" w:cstheme="minorEastAsia"/>
          <w:b w:val="0"/>
          <w:bCs/>
          <w:color w:val="000000"/>
          <w:kern w:val="0"/>
          <w:sz w:val="28"/>
          <w:szCs w:val="28"/>
        </w:rPr>
        <w:t>委托有资质的第三方粮油质量检验机构进行满仓鉴定检测（含食品安全指标检测）。若第三方粮油质量检验机构检测不合格，</w:t>
      </w:r>
      <w:r>
        <w:rPr>
          <w:rFonts w:hint="eastAsia" w:asciiTheme="minorEastAsia" w:hAnsiTheme="minorEastAsia" w:eastAsiaTheme="minorEastAsia" w:cstheme="minorEastAsia"/>
          <w:b w:val="0"/>
          <w:bCs/>
          <w:color w:val="000000"/>
          <w:kern w:val="0"/>
          <w:sz w:val="28"/>
          <w:szCs w:val="28"/>
          <w:lang w:eastAsia="zh-CN"/>
        </w:rPr>
        <w:t>乙方</w:t>
      </w:r>
      <w:r>
        <w:rPr>
          <w:rFonts w:hint="eastAsia" w:asciiTheme="minorEastAsia" w:hAnsiTheme="minorEastAsia" w:eastAsiaTheme="minorEastAsia" w:cstheme="minorEastAsia"/>
          <w:b w:val="0"/>
          <w:bCs/>
          <w:color w:val="000000"/>
          <w:kern w:val="0"/>
          <w:sz w:val="28"/>
          <w:szCs w:val="28"/>
        </w:rPr>
        <w:t>须在第三方粮油质量检验机构出具报告后7日内调换成符合本次公告质量要求的大豆油，由此产生的一切损失和费用由</w:t>
      </w:r>
      <w:r>
        <w:rPr>
          <w:rFonts w:hint="eastAsia" w:asciiTheme="minorEastAsia" w:hAnsiTheme="minorEastAsia" w:eastAsiaTheme="minorEastAsia" w:cstheme="minorEastAsia"/>
          <w:b w:val="0"/>
          <w:bCs/>
          <w:color w:val="000000"/>
          <w:kern w:val="0"/>
          <w:sz w:val="28"/>
          <w:szCs w:val="28"/>
          <w:lang w:eastAsia="zh-CN"/>
        </w:rPr>
        <w:t>乙方</w:t>
      </w:r>
      <w:r>
        <w:rPr>
          <w:rFonts w:hint="eastAsia" w:asciiTheme="minorEastAsia" w:hAnsiTheme="minorEastAsia" w:eastAsiaTheme="minorEastAsia" w:cstheme="minorEastAsia"/>
          <w:b w:val="0"/>
          <w:bCs/>
          <w:color w:val="000000"/>
          <w:kern w:val="0"/>
          <w:sz w:val="28"/>
          <w:szCs w:val="28"/>
        </w:rPr>
        <w:t>承担。若</w:t>
      </w:r>
      <w:r>
        <w:rPr>
          <w:rFonts w:hint="eastAsia" w:asciiTheme="minorEastAsia" w:hAnsiTheme="minorEastAsia" w:eastAsiaTheme="minorEastAsia" w:cstheme="minorEastAsia"/>
          <w:b w:val="0"/>
          <w:bCs/>
          <w:color w:val="000000"/>
          <w:kern w:val="0"/>
          <w:sz w:val="28"/>
          <w:szCs w:val="28"/>
          <w:lang w:eastAsia="zh-CN"/>
        </w:rPr>
        <w:t>乙方</w:t>
      </w:r>
      <w:r>
        <w:rPr>
          <w:rFonts w:hint="eastAsia" w:asciiTheme="minorEastAsia" w:hAnsiTheme="minorEastAsia" w:eastAsiaTheme="minorEastAsia" w:cstheme="minorEastAsia"/>
          <w:b w:val="0"/>
          <w:bCs/>
          <w:color w:val="000000"/>
          <w:kern w:val="0"/>
          <w:sz w:val="28"/>
          <w:szCs w:val="28"/>
        </w:rPr>
        <w:t>未在规定时间内更换到位的，视作</w:t>
      </w:r>
      <w:r>
        <w:rPr>
          <w:rFonts w:hint="eastAsia" w:asciiTheme="minorEastAsia" w:hAnsiTheme="minorEastAsia" w:eastAsiaTheme="minorEastAsia" w:cstheme="minorEastAsia"/>
          <w:b w:val="0"/>
          <w:bCs/>
          <w:color w:val="000000"/>
          <w:kern w:val="0"/>
          <w:sz w:val="28"/>
          <w:szCs w:val="28"/>
          <w:lang w:eastAsia="zh-CN"/>
        </w:rPr>
        <w:t>乙方</w:t>
      </w:r>
      <w:r>
        <w:rPr>
          <w:rFonts w:hint="eastAsia" w:asciiTheme="minorEastAsia" w:hAnsiTheme="minorEastAsia" w:eastAsiaTheme="minorEastAsia" w:cstheme="minorEastAsia"/>
          <w:b w:val="0"/>
          <w:bCs/>
          <w:color w:val="000000"/>
          <w:kern w:val="0"/>
          <w:sz w:val="28"/>
          <w:szCs w:val="28"/>
        </w:rPr>
        <w:t>违约，</w:t>
      </w:r>
      <w:r>
        <w:rPr>
          <w:rFonts w:hint="eastAsia" w:asciiTheme="minorEastAsia" w:hAnsiTheme="minorEastAsia" w:eastAsiaTheme="minorEastAsia" w:cstheme="minorEastAsia"/>
          <w:b w:val="0"/>
          <w:bCs/>
          <w:color w:val="000000"/>
          <w:kern w:val="0"/>
          <w:sz w:val="28"/>
          <w:szCs w:val="28"/>
          <w:lang w:eastAsia="zh-CN"/>
        </w:rPr>
        <w:t>甲方</w:t>
      </w:r>
      <w:r>
        <w:rPr>
          <w:rFonts w:hint="eastAsia" w:asciiTheme="minorEastAsia" w:hAnsiTheme="minorEastAsia" w:eastAsiaTheme="minorEastAsia" w:cstheme="minorEastAsia"/>
          <w:b w:val="0"/>
          <w:bCs/>
          <w:color w:val="000000"/>
          <w:kern w:val="0"/>
          <w:sz w:val="28"/>
          <w:szCs w:val="28"/>
        </w:rPr>
        <w:t>有权解除合同并没收履约保证金。</w:t>
      </w:r>
    </w:p>
    <w:p w14:paraId="1C0C2D9F">
      <w:pPr>
        <w:keepNext w:val="0"/>
        <w:keepLines w:val="0"/>
        <w:pageBreakBefore w:val="0"/>
        <w:widowControl/>
        <w:kinsoku/>
        <w:wordWrap w:val="0"/>
        <w:overflowPunct/>
        <w:topLinePunct w:val="0"/>
        <w:autoSpaceDE/>
        <w:autoSpaceDN/>
        <w:bidi w:val="0"/>
        <w:adjustRightInd/>
        <w:snapToGrid/>
        <w:spacing w:line="460" w:lineRule="exact"/>
        <w:ind w:firstLine="560" w:firstLineChars="200"/>
        <w:textAlignment w:val="auto"/>
        <w:rPr>
          <w:rFonts w:hint="eastAsia" w:asciiTheme="minorEastAsia" w:hAnsiTheme="minorEastAsia" w:eastAsiaTheme="minorEastAsia" w:cstheme="minorEastAsia"/>
          <w:b w:val="0"/>
          <w:bCs/>
          <w:color w:val="000000"/>
          <w:kern w:val="0"/>
          <w:sz w:val="28"/>
          <w:szCs w:val="28"/>
          <w:lang w:val="en-US" w:eastAsia="zh-CN"/>
        </w:rPr>
      </w:pPr>
      <w:r>
        <w:rPr>
          <w:rFonts w:hint="eastAsia" w:asciiTheme="minorEastAsia" w:hAnsiTheme="minorEastAsia" w:eastAsiaTheme="minorEastAsia" w:cstheme="minorEastAsia"/>
          <w:b w:val="0"/>
          <w:bCs/>
          <w:color w:val="000000"/>
          <w:kern w:val="0"/>
          <w:sz w:val="28"/>
          <w:szCs w:val="28"/>
          <w:lang w:val="en-US" w:eastAsia="zh-CN"/>
        </w:rPr>
        <w:t>五、结算办法</w:t>
      </w:r>
    </w:p>
    <w:p w14:paraId="60ECB7E9">
      <w:pPr>
        <w:keepNext w:val="0"/>
        <w:keepLines w:val="0"/>
        <w:pageBreakBefore w:val="0"/>
        <w:widowControl/>
        <w:kinsoku/>
        <w:wordWrap w:val="0"/>
        <w:overflowPunct/>
        <w:topLinePunct w:val="0"/>
        <w:autoSpaceDE/>
        <w:autoSpaceDN/>
        <w:bidi w:val="0"/>
        <w:adjustRightInd/>
        <w:snapToGrid/>
        <w:spacing w:line="460" w:lineRule="exact"/>
        <w:ind w:firstLine="560" w:firstLineChars="200"/>
        <w:textAlignment w:val="auto"/>
        <w:rPr>
          <w:rFonts w:hint="eastAsia" w:asciiTheme="minorEastAsia" w:hAnsiTheme="minorEastAsia" w:eastAsiaTheme="minorEastAsia" w:cstheme="minorEastAsia"/>
          <w:b w:val="0"/>
          <w:bCs/>
          <w:color w:val="000000"/>
          <w:kern w:val="0"/>
          <w:sz w:val="28"/>
          <w:szCs w:val="28"/>
          <w:lang w:val="en-US" w:eastAsia="zh-CN"/>
        </w:rPr>
      </w:pPr>
      <w:r>
        <w:rPr>
          <w:rFonts w:hint="eastAsia" w:asciiTheme="minorEastAsia" w:hAnsiTheme="minorEastAsia" w:eastAsiaTheme="minorEastAsia" w:cstheme="minorEastAsia"/>
          <w:b w:val="0"/>
          <w:bCs/>
          <w:color w:val="000000"/>
          <w:kern w:val="0"/>
          <w:sz w:val="28"/>
          <w:szCs w:val="28"/>
          <w:lang w:val="en-US" w:eastAsia="zh-CN"/>
        </w:rPr>
        <w:t>1、轮换实行购销制，轮入（采购）标的物单价按8900元/吨结算，轮出（销售）标的物单价按轮入单价8900元/吨减去竞得轮换差价     元/吨即为     元/吨结算。双方均开具增值税普通发票。</w:t>
      </w:r>
    </w:p>
    <w:p w14:paraId="7E99E430">
      <w:pPr>
        <w:keepNext w:val="0"/>
        <w:keepLines w:val="0"/>
        <w:pageBreakBefore w:val="0"/>
        <w:widowControl/>
        <w:kinsoku/>
        <w:wordWrap w:val="0"/>
        <w:overflowPunct/>
        <w:topLinePunct w:val="0"/>
        <w:autoSpaceDE/>
        <w:autoSpaceDN/>
        <w:bidi w:val="0"/>
        <w:adjustRightInd/>
        <w:snapToGrid/>
        <w:spacing w:line="460" w:lineRule="exact"/>
        <w:ind w:firstLine="560" w:firstLineChars="200"/>
        <w:textAlignment w:val="auto"/>
        <w:rPr>
          <w:rFonts w:hint="eastAsia" w:asciiTheme="minorEastAsia" w:hAnsiTheme="minorEastAsia" w:eastAsiaTheme="minorEastAsia" w:cstheme="minorEastAsia"/>
          <w:b w:val="0"/>
          <w:bCs/>
          <w:color w:val="000000"/>
          <w:kern w:val="0"/>
          <w:sz w:val="28"/>
          <w:szCs w:val="28"/>
          <w:lang w:val="en-US" w:eastAsia="zh-CN"/>
        </w:rPr>
      </w:pPr>
      <w:r>
        <w:rPr>
          <w:rFonts w:hint="eastAsia" w:asciiTheme="minorEastAsia" w:hAnsiTheme="minorEastAsia" w:eastAsiaTheme="minorEastAsia" w:cstheme="minorEastAsia"/>
          <w:b w:val="0"/>
          <w:bCs/>
          <w:color w:val="000000"/>
          <w:kern w:val="0"/>
          <w:sz w:val="28"/>
          <w:szCs w:val="28"/>
          <w:lang w:val="en-US" w:eastAsia="zh-CN"/>
        </w:rPr>
        <w:t>2、轮入货款结算方式：大豆油按约定轮入完毕，并经有资质的第三方粮油质量检验机构检测合格，甲方收到乙方提供的正式发票后的5个工作日内，支付给乙方全部货款（如遇特殊情况可适当延时支付）。</w:t>
      </w:r>
    </w:p>
    <w:p w14:paraId="68BB75FD">
      <w:pPr>
        <w:keepNext w:val="0"/>
        <w:keepLines w:val="0"/>
        <w:pageBreakBefore w:val="0"/>
        <w:widowControl/>
        <w:kinsoku/>
        <w:wordWrap w:val="0"/>
        <w:overflowPunct/>
        <w:topLinePunct w:val="0"/>
        <w:autoSpaceDE/>
        <w:autoSpaceDN/>
        <w:bidi w:val="0"/>
        <w:adjustRightInd/>
        <w:snapToGrid/>
        <w:spacing w:line="460" w:lineRule="exact"/>
        <w:ind w:firstLine="560" w:firstLineChars="200"/>
        <w:textAlignment w:val="auto"/>
        <w:rPr>
          <w:rFonts w:hint="eastAsia" w:asciiTheme="minorEastAsia" w:hAnsiTheme="minorEastAsia" w:eastAsiaTheme="minorEastAsia" w:cstheme="minorEastAsia"/>
          <w:b w:val="0"/>
          <w:bCs/>
          <w:color w:val="000000"/>
          <w:kern w:val="0"/>
          <w:sz w:val="28"/>
          <w:szCs w:val="28"/>
          <w:lang w:val="en-US" w:eastAsia="zh-CN"/>
        </w:rPr>
      </w:pPr>
      <w:r>
        <w:rPr>
          <w:rFonts w:hint="eastAsia" w:asciiTheme="minorEastAsia" w:hAnsiTheme="minorEastAsia" w:eastAsiaTheme="minorEastAsia" w:cstheme="minorEastAsia"/>
          <w:b w:val="0"/>
          <w:bCs/>
          <w:color w:val="000000"/>
          <w:kern w:val="0"/>
          <w:sz w:val="28"/>
          <w:szCs w:val="28"/>
          <w:lang w:val="en-US" w:eastAsia="zh-CN"/>
        </w:rPr>
        <w:t xml:space="preserve">3、轮出货款结算方式：先付款后提货，乙方收到甲方轮出通知后的5个工作日内付清全部货款。如乙方未按期付清全部货款，则按违约处理。 </w:t>
      </w:r>
    </w:p>
    <w:p w14:paraId="3BF2B60B">
      <w:pPr>
        <w:keepNext w:val="0"/>
        <w:keepLines w:val="0"/>
        <w:pageBreakBefore w:val="0"/>
        <w:widowControl/>
        <w:kinsoku/>
        <w:wordWrap w:val="0"/>
        <w:overflowPunct/>
        <w:topLinePunct w:val="0"/>
        <w:autoSpaceDE/>
        <w:autoSpaceDN/>
        <w:bidi w:val="0"/>
        <w:adjustRightInd/>
        <w:snapToGrid/>
        <w:spacing w:line="460" w:lineRule="exact"/>
        <w:ind w:firstLine="560" w:firstLineChars="200"/>
        <w:textAlignment w:val="auto"/>
        <w:rPr>
          <w:rFonts w:hint="eastAsia" w:asciiTheme="minorEastAsia" w:hAnsiTheme="minorEastAsia" w:eastAsiaTheme="minorEastAsia" w:cstheme="minorEastAsia"/>
          <w:color w:val="000000"/>
          <w:kern w:val="0"/>
          <w:sz w:val="28"/>
          <w:szCs w:val="28"/>
          <w:lang w:eastAsia="zh-CN"/>
        </w:rPr>
      </w:pPr>
      <w:r>
        <w:rPr>
          <w:rFonts w:hint="eastAsia" w:asciiTheme="minorEastAsia" w:hAnsiTheme="minorEastAsia" w:eastAsiaTheme="minorEastAsia" w:cstheme="minorEastAsia"/>
          <w:color w:val="000000"/>
          <w:kern w:val="0"/>
          <w:sz w:val="28"/>
          <w:szCs w:val="28"/>
          <w:lang w:eastAsia="zh-CN"/>
        </w:rPr>
        <w:t>六、违约处理：在</w:t>
      </w:r>
      <w:r>
        <w:rPr>
          <w:rFonts w:hint="eastAsia" w:asciiTheme="minorEastAsia" w:hAnsiTheme="minorEastAsia" w:eastAsiaTheme="minorEastAsia" w:cstheme="minorEastAsia"/>
          <w:color w:val="000000"/>
          <w:kern w:val="0"/>
          <w:sz w:val="28"/>
          <w:szCs w:val="28"/>
          <w:lang w:val="en-US" w:eastAsia="zh-CN"/>
        </w:rPr>
        <w:t>本</w:t>
      </w:r>
      <w:r>
        <w:rPr>
          <w:rFonts w:hint="eastAsia" w:asciiTheme="minorEastAsia" w:hAnsiTheme="minorEastAsia" w:eastAsiaTheme="minorEastAsia" w:cstheme="minorEastAsia"/>
          <w:color w:val="000000"/>
          <w:kern w:val="0"/>
          <w:sz w:val="28"/>
          <w:szCs w:val="28"/>
          <w:lang w:eastAsia="zh-CN"/>
        </w:rPr>
        <w:t>合同履行期间，如发生违约情形，国家粮食浙江交易中心根据违约情况，扣除违约方履约保证金支付给守约方。违约金超过履约保证金的，超过部分双方按《中华人民共和国民法典》通过其它途径另行处理。</w:t>
      </w:r>
    </w:p>
    <w:p w14:paraId="6777B9FB">
      <w:pPr>
        <w:keepNext w:val="0"/>
        <w:keepLines w:val="0"/>
        <w:pageBreakBefore w:val="0"/>
        <w:widowControl/>
        <w:kinsoku/>
        <w:wordWrap w:val="0"/>
        <w:overflowPunct/>
        <w:topLinePunct w:val="0"/>
        <w:autoSpaceDE/>
        <w:autoSpaceDN/>
        <w:bidi w:val="0"/>
        <w:adjustRightInd/>
        <w:snapToGrid/>
        <w:spacing w:line="460" w:lineRule="exact"/>
        <w:ind w:firstLine="560" w:firstLineChars="200"/>
        <w:textAlignment w:val="auto"/>
        <w:rPr>
          <w:rFonts w:hint="eastAsia" w:asciiTheme="minorEastAsia" w:hAnsiTheme="minorEastAsia" w:eastAsiaTheme="minorEastAsia" w:cstheme="minorEastAsia"/>
          <w:color w:val="000000"/>
          <w:kern w:val="0"/>
          <w:sz w:val="28"/>
          <w:szCs w:val="28"/>
        </w:rPr>
      </w:pPr>
      <w:r>
        <w:rPr>
          <w:rFonts w:hint="eastAsia" w:asciiTheme="minorEastAsia" w:hAnsiTheme="minorEastAsia" w:eastAsiaTheme="minorEastAsia" w:cstheme="minorEastAsia"/>
          <w:color w:val="000000"/>
          <w:kern w:val="0"/>
          <w:sz w:val="28"/>
          <w:szCs w:val="28"/>
          <w:lang w:eastAsia="zh-CN"/>
        </w:rPr>
        <w:t>七、</w:t>
      </w:r>
      <w:r>
        <w:rPr>
          <w:rFonts w:hint="eastAsia" w:asciiTheme="minorEastAsia" w:hAnsiTheme="minorEastAsia" w:eastAsiaTheme="minorEastAsia" w:cstheme="minorEastAsia"/>
          <w:color w:val="000000"/>
          <w:kern w:val="0"/>
          <w:sz w:val="28"/>
          <w:szCs w:val="28"/>
        </w:rPr>
        <w:t>若因地震、战争、自然灾害等不可抗力原因造成任何一方不能顺利履行合同的，合同相关条款由双方另行协商。本合同未尽事宜，由双方协商解决，协商不成的，按《中华人民共和国民法典》办理。</w:t>
      </w:r>
    </w:p>
    <w:p w14:paraId="66E8709C">
      <w:pPr>
        <w:keepNext w:val="0"/>
        <w:keepLines w:val="0"/>
        <w:pageBreakBefore w:val="0"/>
        <w:widowControl/>
        <w:kinsoku/>
        <w:wordWrap w:val="0"/>
        <w:overflowPunct/>
        <w:topLinePunct w:val="0"/>
        <w:autoSpaceDE/>
        <w:autoSpaceDN/>
        <w:bidi w:val="0"/>
        <w:adjustRightInd/>
        <w:snapToGrid/>
        <w:spacing w:line="460" w:lineRule="exact"/>
        <w:ind w:firstLine="560" w:firstLineChars="200"/>
        <w:textAlignment w:val="auto"/>
        <w:rPr>
          <w:rFonts w:hint="eastAsia" w:asciiTheme="minorEastAsia" w:hAnsiTheme="minorEastAsia" w:eastAsiaTheme="minorEastAsia" w:cstheme="minorEastAsia"/>
          <w:color w:val="000000"/>
          <w:kern w:val="0"/>
          <w:sz w:val="28"/>
          <w:szCs w:val="28"/>
        </w:rPr>
      </w:pPr>
      <w:r>
        <w:rPr>
          <w:rFonts w:hint="eastAsia" w:asciiTheme="minorEastAsia" w:hAnsiTheme="minorEastAsia" w:eastAsiaTheme="minorEastAsia" w:cstheme="minorEastAsia"/>
          <w:color w:val="000000"/>
          <w:kern w:val="0"/>
          <w:sz w:val="28"/>
          <w:szCs w:val="28"/>
          <w:lang w:val="en-US" w:eastAsia="zh-CN"/>
        </w:rPr>
        <w:t>八</w:t>
      </w:r>
      <w:r>
        <w:rPr>
          <w:rFonts w:hint="eastAsia" w:asciiTheme="minorEastAsia" w:hAnsiTheme="minorEastAsia" w:eastAsiaTheme="minorEastAsia" w:cstheme="minorEastAsia"/>
          <w:color w:val="000000"/>
          <w:kern w:val="0"/>
          <w:sz w:val="28"/>
          <w:szCs w:val="28"/>
        </w:rPr>
        <w:t>、双方就本合同履行过程中产生争议，应本着友好的态度协商解决，协商不成，可向甲方所在地人民法院起诉。</w:t>
      </w:r>
    </w:p>
    <w:p w14:paraId="3BC283A7">
      <w:pPr>
        <w:keepNext w:val="0"/>
        <w:keepLines w:val="0"/>
        <w:pageBreakBefore w:val="0"/>
        <w:widowControl/>
        <w:kinsoku/>
        <w:wordWrap w:val="0"/>
        <w:overflowPunct/>
        <w:topLinePunct w:val="0"/>
        <w:autoSpaceDE/>
        <w:autoSpaceDN/>
        <w:bidi w:val="0"/>
        <w:adjustRightInd/>
        <w:snapToGrid/>
        <w:spacing w:line="460" w:lineRule="exact"/>
        <w:ind w:firstLine="560" w:firstLineChars="200"/>
        <w:textAlignment w:val="auto"/>
        <w:rPr>
          <w:rFonts w:hint="eastAsia" w:asciiTheme="minorEastAsia" w:hAnsiTheme="minorEastAsia" w:eastAsiaTheme="minorEastAsia" w:cstheme="minorEastAsia"/>
          <w:color w:val="000000"/>
          <w:kern w:val="0"/>
          <w:sz w:val="28"/>
          <w:szCs w:val="28"/>
        </w:rPr>
      </w:pPr>
      <w:r>
        <w:rPr>
          <w:rFonts w:hint="eastAsia" w:asciiTheme="minorEastAsia" w:hAnsiTheme="minorEastAsia" w:eastAsiaTheme="minorEastAsia" w:cstheme="minorEastAsia"/>
          <w:color w:val="000000"/>
          <w:kern w:val="0"/>
          <w:sz w:val="28"/>
          <w:szCs w:val="28"/>
          <w:lang w:eastAsia="zh-CN"/>
        </w:rPr>
        <w:t>九</w:t>
      </w:r>
      <w:r>
        <w:rPr>
          <w:rFonts w:hint="eastAsia" w:asciiTheme="minorEastAsia" w:hAnsiTheme="minorEastAsia" w:eastAsiaTheme="minorEastAsia" w:cstheme="minorEastAsia"/>
          <w:color w:val="000000"/>
          <w:kern w:val="0"/>
          <w:sz w:val="28"/>
          <w:szCs w:val="28"/>
        </w:rPr>
        <w:t>、本合同一式贰份，甲乙双方各壹份，经签字</w:t>
      </w:r>
      <w:r>
        <w:rPr>
          <w:rFonts w:hint="eastAsia" w:asciiTheme="minorEastAsia" w:hAnsiTheme="minorEastAsia" w:eastAsiaTheme="minorEastAsia" w:cstheme="minorEastAsia"/>
          <w:color w:val="000000"/>
          <w:kern w:val="0"/>
          <w:sz w:val="28"/>
          <w:szCs w:val="28"/>
          <w:lang w:eastAsia="zh-CN"/>
        </w:rPr>
        <w:t>及</w:t>
      </w:r>
      <w:r>
        <w:rPr>
          <w:rFonts w:hint="eastAsia" w:asciiTheme="minorEastAsia" w:hAnsiTheme="minorEastAsia" w:eastAsiaTheme="minorEastAsia" w:cstheme="minorEastAsia"/>
          <w:color w:val="000000"/>
          <w:kern w:val="0"/>
          <w:sz w:val="28"/>
          <w:szCs w:val="28"/>
        </w:rPr>
        <w:t>盖章后生效。本合同未尽事宜，双方可另行协商并签订书面补充协议；补充协议约定与本合同约定不一致的，以补充协议约定为准并优先适用。</w:t>
      </w:r>
    </w:p>
    <w:p w14:paraId="1FD2CA51">
      <w:pPr>
        <w:keepNext w:val="0"/>
        <w:keepLines w:val="0"/>
        <w:pageBreakBefore w:val="0"/>
        <w:widowControl/>
        <w:kinsoku/>
        <w:wordWrap w:val="0"/>
        <w:overflowPunct/>
        <w:topLinePunct w:val="0"/>
        <w:autoSpaceDE/>
        <w:autoSpaceDN/>
        <w:bidi w:val="0"/>
        <w:adjustRightInd/>
        <w:snapToGrid/>
        <w:spacing w:line="460" w:lineRule="exact"/>
        <w:ind w:firstLine="560" w:firstLineChars="200"/>
        <w:textAlignment w:val="auto"/>
        <w:rPr>
          <w:rFonts w:hint="eastAsia" w:asciiTheme="minorEastAsia" w:hAnsiTheme="minorEastAsia" w:eastAsiaTheme="minorEastAsia" w:cstheme="minorEastAsia"/>
          <w:color w:val="000000"/>
          <w:kern w:val="0"/>
          <w:sz w:val="28"/>
          <w:szCs w:val="28"/>
        </w:rPr>
      </w:pPr>
    </w:p>
    <w:p w14:paraId="74702FB2">
      <w:pPr>
        <w:keepNext w:val="0"/>
        <w:keepLines w:val="0"/>
        <w:pageBreakBefore w:val="0"/>
        <w:widowControl/>
        <w:kinsoku/>
        <w:wordWrap w:val="0"/>
        <w:overflowPunct/>
        <w:topLinePunct w:val="0"/>
        <w:autoSpaceDE/>
        <w:autoSpaceDN/>
        <w:bidi w:val="0"/>
        <w:adjustRightInd/>
        <w:snapToGrid/>
        <w:spacing w:line="600" w:lineRule="exact"/>
        <w:ind w:firstLine="560" w:firstLineChars="200"/>
        <w:textAlignment w:val="auto"/>
        <w:rPr>
          <w:rFonts w:hint="eastAsia" w:asciiTheme="minorEastAsia" w:hAnsiTheme="minorEastAsia" w:eastAsiaTheme="minorEastAsia" w:cstheme="minorEastAsia"/>
          <w:color w:val="000000"/>
          <w:kern w:val="0"/>
          <w:sz w:val="28"/>
          <w:szCs w:val="28"/>
          <w:lang w:eastAsia="zh-CN"/>
        </w:rPr>
      </w:pPr>
      <w:r>
        <w:rPr>
          <w:rFonts w:hint="eastAsia" w:asciiTheme="minorEastAsia" w:hAnsiTheme="minorEastAsia" w:eastAsiaTheme="minorEastAsia" w:cstheme="minorEastAsia"/>
          <w:color w:val="000000"/>
          <w:kern w:val="0"/>
          <w:sz w:val="28"/>
          <w:szCs w:val="28"/>
        </w:rPr>
        <w:t>甲方：</w:t>
      </w:r>
      <w:r>
        <w:rPr>
          <w:rFonts w:hint="eastAsia" w:asciiTheme="minorEastAsia" w:hAnsiTheme="minorEastAsia" w:eastAsiaTheme="minorEastAsia" w:cstheme="minorEastAsia"/>
          <w:color w:val="000000"/>
          <w:kern w:val="0"/>
          <w:sz w:val="28"/>
          <w:szCs w:val="28"/>
          <w:lang w:eastAsia="zh-CN"/>
        </w:rPr>
        <w:t>余姚</w:t>
      </w:r>
      <w:r>
        <w:rPr>
          <w:rFonts w:hint="eastAsia" w:asciiTheme="minorEastAsia" w:hAnsiTheme="minorEastAsia" w:eastAsiaTheme="minorEastAsia" w:cstheme="minorEastAsia"/>
          <w:color w:val="000000"/>
          <w:kern w:val="0"/>
          <w:sz w:val="28"/>
          <w:szCs w:val="28"/>
        </w:rPr>
        <w:t>市粮食收储有限公司</w:t>
      </w:r>
      <w:r>
        <w:rPr>
          <w:rFonts w:hint="eastAsia" w:asciiTheme="minorEastAsia" w:hAnsiTheme="minorEastAsia" w:eastAsiaTheme="minorEastAsia" w:cstheme="minorEastAsia"/>
          <w:color w:val="000000"/>
          <w:kern w:val="0"/>
          <w:sz w:val="28"/>
          <w:szCs w:val="28"/>
          <w:lang w:eastAsia="zh-CN"/>
        </w:rPr>
        <w:t>（</w:t>
      </w:r>
      <w:r>
        <w:rPr>
          <w:rFonts w:hint="eastAsia" w:asciiTheme="minorEastAsia" w:hAnsiTheme="minorEastAsia" w:eastAsiaTheme="minorEastAsia" w:cstheme="minorEastAsia"/>
          <w:color w:val="000000"/>
          <w:kern w:val="0"/>
          <w:sz w:val="28"/>
          <w:szCs w:val="28"/>
          <w:lang w:val="en-US" w:eastAsia="zh-CN"/>
        </w:rPr>
        <w:t>盖章</w:t>
      </w:r>
      <w:r>
        <w:rPr>
          <w:rFonts w:hint="eastAsia" w:asciiTheme="minorEastAsia" w:hAnsiTheme="minorEastAsia" w:eastAsiaTheme="minorEastAsia" w:cstheme="minorEastAsia"/>
          <w:color w:val="000000"/>
          <w:kern w:val="0"/>
          <w:sz w:val="28"/>
          <w:szCs w:val="28"/>
          <w:lang w:eastAsia="zh-CN"/>
        </w:rPr>
        <w:t>）</w:t>
      </w:r>
    </w:p>
    <w:p w14:paraId="27286534">
      <w:pPr>
        <w:keepNext w:val="0"/>
        <w:keepLines w:val="0"/>
        <w:pageBreakBefore w:val="0"/>
        <w:widowControl/>
        <w:kinsoku/>
        <w:wordWrap w:val="0"/>
        <w:overflowPunct/>
        <w:topLinePunct w:val="0"/>
        <w:autoSpaceDE/>
        <w:autoSpaceDN/>
        <w:bidi w:val="0"/>
        <w:adjustRightInd/>
        <w:snapToGrid/>
        <w:spacing w:line="600" w:lineRule="exact"/>
        <w:ind w:firstLine="560" w:firstLineChars="200"/>
        <w:textAlignment w:val="auto"/>
        <w:rPr>
          <w:rFonts w:hint="eastAsia" w:asciiTheme="minorEastAsia" w:hAnsiTheme="minorEastAsia" w:eastAsiaTheme="minorEastAsia" w:cstheme="minorEastAsia"/>
          <w:color w:val="000000"/>
          <w:kern w:val="0"/>
          <w:sz w:val="28"/>
          <w:szCs w:val="28"/>
        </w:rPr>
      </w:pPr>
      <w:r>
        <w:rPr>
          <w:rFonts w:hint="eastAsia" w:asciiTheme="minorEastAsia" w:hAnsiTheme="minorEastAsia" w:eastAsiaTheme="minorEastAsia" w:cstheme="minorEastAsia"/>
          <w:color w:val="000000"/>
          <w:kern w:val="0"/>
          <w:sz w:val="28"/>
          <w:szCs w:val="28"/>
        </w:rPr>
        <w:t>法定代表人：</w:t>
      </w:r>
    </w:p>
    <w:p w14:paraId="287CD1A1">
      <w:pPr>
        <w:keepNext w:val="0"/>
        <w:keepLines w:val="0"/>
        <w:pageBreakBefore w:val="0"/>
        <w:widowControl/>
        <w:kinsoku/>
        <w:wordWrap w:val="0"/>
        <w:overflowPunct/>
        <w:topLinePunct w:val="0"/>
        <w:autoSpaceDE/>
        <w:autoSpaceDN/>
        <w:bidi w:val="0"/>
        <w:adjustRightInd/>
        <w:snapToGrid/>
        <w:spacing w:line="600" w:lineRule="exact"/>
        <w:ind w:firstLine="560" w:firstLineChars="200"/>
        <w:textAlignment w:val="auto"/>
        <w:rPr>
          <w:rFonts w:hint="eastAsia" w:asciiTheme="minorEastAsia" w:hAnsiTheme="minorEastAsia" w:eastAsiaTheme="minorEastAsia" w:cstheme="minorEastAsia"/>
          <w:color w:val="000000"/>
          <w:kern w:val="0"/>
          <w:sz w:val="28"/>
          <w:szCs w:val="28"/>
          <w:lang w:eastAsia="zh-CN"/>
        </w:rPr>
      </w:pPr>
      <w:r>
        <w:rPr>
          <w:rFonts w:hint="eastAsia" w:asciiTheme="minorEastAsia" w:hAnsiTheme="minorEastAsia" w:eastAsiaTheme="minorEastAsia" w:cstheme="minorEastAsia"/>
          <w:color w:val="000000"/>
          <w:kern w:val="0"/>
          <w:sz w:val="28"/>
          <w:szCs w:val="28"/>
        </w:rPr>
        <w:t>委托代理人</w:t>
      </w:r>
      <w:r>
        <w:rPr>
          <w:rFonts w:hint="eastAsia" w:asciiTheme="minorEastAsia" w:hAnsiTheme="minorEastAsia" w:eastAsiaTheme="minorEastAsia" w:cstheme="minorEastAsia"/>
          <w:color w:val="000000"/>
          <w:kern w:val="0"/>
          <w:sz w:val="28"/>
          <w:szCs w:val="28"/>
          <w:lang w:eastAsia="zh-CN"/>
        </w:rPr>
        <w:t>：</w:t>
      </w:r>
    </w:p>
    <w:p w14:paraId="2F188F2F">
      <w:pPr>
        <w:keepNext w:val="0"/>
        <w:keepLines w:val="0"/>
        <w:pageBreakBefore w:val="0"/>
        <w:widowControl/>
        <w:kinsoku/>
        <w:wordWrap w:val="0"/>
        <w:overflowPunct/>
        <w:topLinePunct w:val="0"/>
        <w:autoSpaceDE/>
        <w:autoSpaceDN/>
        <w:bidi w:val="0"/>
        <w:adjustRightInd/>
        <w:snapToGrid/>
        <w:spacing w:line="600" w:lineRule="exact"/>
        <w:ind w:firstLine="560" w:firstLineChars="200"/>
        <w:textAlignment w:val="auto"/>
        <w:rPr>
          <w:rFonts w:hint="eastAsia" w:asciiTheme="minorEastAsia" w:hAnsiTheme="minorEastAsia" w:eastAsiaTheme="minorEastAsia" w:cstheme="minorEastAsia"/>
          <w:color w:val="000000"/>
          <w:kern w:val="0"/>
          <w:sz w:val="28"/>
          <w:szCs w:val="28"/>
        </w:rPr>
      </w:pPr>
    </w:p>
    <w:p w14:paraId="567E538F">
      <w:pPr>
        <w:keepNext w:val="0"/>
        <w:keepLines w:val="0"/>
        <w:pageBreakBefore w:val="0"/>
        <w:widowControl/>
        <w:kinsoku/>
        <w:wordWrap w:val="0"/>
        <w:overflowPunct/>
        <w:topLinePunct w:val="0"/>
        <w:autoSpaceDE/>
        <w:autoSpaceDN/>
        <w:bidi w:val="0"/>
        <w:adjustRightInd/>
        <w:snapToGrid/>
        <w:spacing w:line="600" w:lineRule="exact"/>
        <w:ind w:firstLine="560" w:firstLineChars="200"/>
        <w:textAlignment w:val="auto"/>
        <w:rPr>
          <w:rFonts w:hint="eastAsia" w:asciiTheme="minorEastAsia" w:hAnsiTheme="minorEastAsia" w:eastAsiaTheme="minorEastAsia" w:cstheme="minorEastAsia"/>
          <w:color w:val="000000"/>
          <w:kern w:val="0"/>
          <w:sz w:val="28"/>
          <w:szCs w:val="28"/>
          <w:u w:val="none"/>
          <w:lang w:val="en-US" w:eastAsia="zh-CN"/>
        </w:rPr>
      </w:pPr>
      <w:r>
        <w:rPr>
          <w:rFonts w:hint="eastAsia" w:asciiTheme="minorEastAsia" w:hAnsiTheme="minorEastAsia" w:eastAsiaTheme="minorEastAsia" w:cstheme="minorEastAsia"/>
          <w:color w:val="000000"/>
          <w:kern w:val="0"/>
          <w:sz w:val="28"/>
          <w:szCs w:val="28"/>
        </w:rPr>
        <w:t>乙方：</w:t>
      </w:r>
      <w:r>
        <w:rPr>
          <w:rFonts w:hint="eastAsia" w:asciiTheme="minorEastAsia" w:hAnsiTheme="minorEastAsia" w:eastAsiaTheme="minorEastAsia" w:cstheme="minorEastAsia"/>
          <w:color w:val="000000"/>
          <w:kern w:val="0"/>
          <w:sz w:val="28"/>
          <w:szCs w:val="28"/>
          <w:lang w:val="en-US" w:eastAsia="zh-CN"/>
        </w:rPr>
        <w:t xml:space="preserve">     </w:t>
      </w:r>
      <w:r>
        <w:rPr>
          <w:rFonts w:hint="eastAsia" w:asciiTheme="minorEastAsia" w:hAnsiTheme="minorEastAsia" w:eastAsiaTheme="minorEastAsia" w:cstheme="minorEastAsia"/>
          <w:color w:val="000000"/>
          <w:kern w:val="0"/>
          <w:sz w:val="28"/>
          <w:szCs w:val="28"/>
          <w:lang w:eastAsia="zh-CN"/>
        </w:rPr>
        <w:t>（</w:t>
      </w:r>
      <w:r>
        <w:rPr>
          <w:rFonts w:hint="eastAsia" w:asciiTheme="minorEastAsia" w:hAnsiTheme="minorEastAsia" w:eastAsiaTheme="minorEastAsia" w:cstheme="minorEastAsia"/>
          <w:color w:val="000000"/>
          <w:kern w:val="0"/>
          <w:sz w:val="28"/>
          <w:szCs w:val="28"/>
          <w:lang w:val="en-US" w:eastAsia="zh-CN"/>
        </w:rPr>
        <w:t>盖章</w:t>
      </w:r>
      <w:r>
        <w:rPr>
          <w:rFonts w:hint="eastAsia" w:asciiTheme="minorEastAsia" w:hAnsiTheme="minorEastAsia" w:eastAsiaTheme="minorEastAsia" w:cstheme="minorEastAsia"/>
          <w:color w:val="000000"/>
          <w:kern w:val="0"/>
          <w:sz w:val="28"/>
          <w:szCs w:val="28"/>
          <w:lang w:eastAsia="zh-CN"/>
        </w:rPr>
        <w:t>）</w:t>
      </w:r>
    </w:p>
    <w:p w14:paraId="2DE20917">
      <w:pPr>
        <w:keepNext w:val="0"/>
        <w:keepLines w:val="0"/>
        <w:pageBreakBefore w:val="0"/>
        <w:widowControl/>
        <w:kinsoku/>
        <w:wordWrap w:val="0"/>
        <w:overflowPunct/>
        <w:topLinePunct w:val="0"/>
        <w:autoSpaceDE/>
        <w:autoSpaceDN/>
        <w:bidi w:val="0"/>
        <w:adjustRightInd/>
        <w:snapToGrid/>
        <w:spacing w:line="600" w:lineRule="exact"/>
        <w:ind w:firstLine="560" w:firstLineChars="200"/>
        <w:textAlignment w:val="auto"/>
        <w:rPr>
          <w:rFonts w:hint="eastAsia" w:asciiTheme="minorEastAsia" w:hAnsiTheme="minorEastAsia" w:eastAsiaTheme="minorEastAsia" w:cstheme="minorEastAsia"/>
          <w:color w:val="000000"/>
          <w:kern w:val="0"/>
          <w:sz w:val="28"/>
          <w:szCs w:val="28"/>
        </w:rPr>
      </w:pPr>
      <w:r>
        <w:rPr>
          <w:rFonts w:hint="eastAsia" w:asciiTheme="minorEastAsia" w:hAnsiTheme="minorEastAsia" w:eastAsiaTheme="minorEastAsia" w:cstheme="minorEastAsia"/>
          <w:color w:val="000000"/>
          <w:kern w:val="0"/>
          <w:sz w:val="28"/>
          <w:szCs w:val="28"/>
        </w:rPr>
        <w:t>法定代表人：</w:t>
      </w:r>
    </w:p>
    <w:p w14:paraId="7363DF71">
      <w:pPr>
        <w:keepNext w:val="0"/>
        <w:keepLines w:val="0"/>
        <w:pageBreakBefore w:val="0"/>
        <w:widowControl/>
        <w:kinsoku/>
        <w:wordWrap w:val="0"/>
        <w:overflowPunct/>
        <w:topLinePunct w:val="0"/>
        <w:autoSpaceDE/>
        <w:autoSpaceDN/>
        <w:bidi w:val="0"/>
        <w:adjustRightInd/>
        <w:snapToGrid/>
        <w:spacing w:line="600" w:lineRule="exact"/>
        <w:ind w:firstLine="560" w:firstLineChars="200"/>
        <w:textAlignment w:val="auto"/>
        <w:rPr>
          <w:rFonts w:hint="eastAsia" w:asciiTheme="minorEastAsia" w:hAnsiTheme="minorEastAsia" w:eastAsiaTheme="minorEastAsia" w:cstheme="minorEastAsia"/>
          <w:color w:val="000000"/>
          <w:kern w:val="0"/>
          <w:sz w:val="28"/>
          <w:szCs w:val="28"/>
        </w:rPr>
      </w:pPr>
      <w:r>
        <w:rPr>
          <w:rFonts w:hint="eastAsia" w:asciiTheme="minorEastAsia" w:hAnsiTheme="minorEastAsia" w:eastAsiaTheme="minorEastAsia" w:cstheme="minorEastAsia"/>
          <w:color w:val="000000"/>
          <w:kern w:val="0"/>
          <w:sz w:val="28"/>
          <w:szCs w:val="28"/>
        </w:rPr>
        <w:t>委托代理人</w:t>
      </w:r>
      <w:r>
        <w:rPr>
          <w:rFonts w:hint="eastAsia" w:asciiTheme="minorEastAsia" w:hAnsiTheme="minorEastAsia" w:eastAsiaTheme="minorEastAsia" w:cstheme="minorEastAsia"/>
          <w:color w:val="000000"/>
          <w:kern w:val="0"/>
          <w:sz w:val="28"/>
          <w:szCs w:val="28"/>
          <w:lang w:eastAsia="zh-CN"/>
        </w:rPr>
        <w:t>：</w:t>
      </w:r>
    </w:p>
    <w:p w14:paraId="75F9FD33">
      <w:pPr>
        <w:keepNext w:val="0"/>
        <w:keepLines w:val="0"/>
        <w:pageBreakBefore w:val="0"/>
        <w:widowControl/>
        <w:kinsoku/>
        <w:wordWrap w:val="0"/>
        <w:overflowPunct/>
        <w:topLinePunct w:val="0"/>
        <w:autoSpaceDE/>
        <w:autoSpaceDN/>
        <w:bidi w:val="0"/>
        <w:adjustRightInd/>
        <w:snapToGrid/>
        <w:spacing w:line="460" w:lineRule="exact"/>
        <w:ind w:firstLine="1400" w:firstLineChars="500"/>
        <w:jc w:val="right"/>
        <w:textAlignment w:val="auto"/>
        <w:rPr>
          <w:rFonts w:hint="eastAsia" w:asciiTheme="minorEastAsia" w:hAnsiTheme="minorEastAsia" w:eastAsiaTheme="minorEastAsia" w:cstheme="minorEastAsia"/>
          <w:color w:val="000000"/>
          <w:kern w:val="0"/>
          <w:sz w:val="28"/>
          <w:szCs w:val="28"/>
        </w:rPr>
      </w:pPr>
      <w:r>
        <w:rPr>
          <w:rFonts w:hint="eastAsia" w:asciiTheme="minorEastAsia" w:hAnsiTheme="minorEastAsia" w:eastAsiaTheme="minorEastAsia" w:cstheme="minorEastAsia"/>
          <w:color w:val="000000"/>
          <w:kern w:val="0"/>
          <w:sz w:val="28"/>
          <w:szCs w:val="28"/>
        </w:rPr>
        <w:t xml:space="preserve"> </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1" w:fontKey="{57EAD0C5-9657-4F08-9914-AD0F68472DD9}"/>
  </w:font>
  <w:font w:name="方正小标宋简体">
    <w:panose1 w:val="02000000000000000000"/>
    <w:charset w:val="86"/>
    <w:family w:val="auto"/>
    <w:pitch w:val="default"/>
    <w:sig w:usb0="00000001" w:usb1="08000000" w:usb2="00000000" w:usb3="00000000" w:csb0="00040000" w:csb1="00000000"/>
    <w:embedRegular r:id="rId2" w:fontKey="{844136B1-F5AB-4A30-AB63-A068F9D23C2E}"/>
  </w:font>
  <w:font w:name="仿宋_GB2312">
    <w:panose1 w:val="02010609030101010101"/>
    <w:charset w:val="86"/>
    <w:family w:val="modern"/>
    <w:pitch w:val="default"/>
    <w:sig w:usb0="00000001" w:usb1="080E0000" w:usb2="00000000" w:usb3="00000000" w:csb0="00040000" w:csb1="00000000"/>
    <w:embedRegular r:id="rId3" w:fontKey="{6E319FDB-0FA2-431D-B6B8-727521BA679F}"/>
  </w:font>
  <w:font w:name="WPSEMBED1">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0CE143">
    <w:pPr>
      <w:pStyle w:val="5"/>
    </w:pPr>
    <w:r>
      <w:pict>
        <v:shape id="_x0000_s3073" o:spid="_x0000_s3073"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14:paraId="00AE0B46">
                <w:pPr>
                  <w:pStyle w:val="5"/>
                </w:pPr>
                <w:r>
                  <w:fldChar w:fldCharType="begin"/>
                </w:r>
                <w:r>
                  <w:instrText xml:space="preserve"> PAGE  \* MERGEFORMAT </w:instrText>
                </w:r>
                <w:r>
                  <w:fldChar w:fldCharType="separate"/>
                </w:r>
                <w:r>
                  <w:t>1</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D73FFB3"/>
    <w:multiLevelType w:val="singleLevel"/>
    <w:tmpl w:val="9D73FFB3"/>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DM2MTM1ZDA2Y2U0YjFjYzM1NDBhMDQ5OThhZjRlMzQifQ=="/>
  </w:docVars>
  <w:rsids>
    <w:rsidRoot w:val="000344CE"/>
    <w:rsid w:val="000344CE"/>
    <w:rsid w:val="00055D70"/>
    <w:rsid w:val="000562DA"/>
    <w:rsid w:val="00074056"/>
    <w:rsid w:val="00090827"/>
    <w:rsid w:val="00091588"/>
    <w:rsid w:val="00093F99"/>
    <w:rsid w:val="00097A8D"/>
    <w:rsid w:val="000A7957"/>
    <w:rsid w:val="000B08F7"/>
    <w:rsid w:val="000B5405"/>
    <w:rsid w:val="000D3DE3"/>
    <w:rsid w:val="000E3531"/>
    <w:rsid w:val="000E3939"/>
    <w:rsid w:val="000F6C77"/>
    <w:rsid w:val="001004A9"/>
    <w:rsid w:val="00100AE9"/>
    <w:rsid w:val="00135D0D"/>
    <w:rsid w:val="00143836"/>
    <w:rsid w:val="00146925"/>
    <w:rsid w:val="001507F3"/>
    <w:rsid w:val="00171CDB"/>
    <w:rsid w:val="001850E1"/>
    <w:rsid w:val="001A0ADC"/>
    <w:rsid w:val="001B2FE3"/>
    <w:rsid w:val="001D66B1"/>
    <w:rsid w:val="001D6AA7"/>
    <w:rsid w:val="001D712E"/>
    <w:rsid w:val="001E32BC"/>
    <w:rsid w:val="001E5DA0"/>
    <w:rsid w:val="002016D6"/>
    <w:rsid w:val="00204ED3"/>
    <w:rsid w:val="002108EC"/>
    <w:rsid w:val="00216987"/>
    <w:rsid w:val="00217B29"/>
    <w:rsid w:val="00230F87"/>
    <w:rsid w:val="00231E31"/>
    <w:rsid w:val="002341E8"/>
    <w:rsid w:val="0025013B"/>
    <w:rsid w:val="00253B1D"/>
    <w:rsid w:val="00271CD3"/>
    <w:rsid w:val="002759CB"/>
    <w:rsid w:val="002806E1"/>
    <w:rsid w:val="00291676"/>
    <w:rsid w:val="002A5DFE"/>
    <w:rsid w:val="002D0C0C"/>
    <w:rsid w:val="002D52BC"/>
    <w:rsid w:val="002E1F6F"/>
    <w:rsid w:val="002E635F"/>
    <w:rsid w:val="003002F6"/>
    <w:rsid w:val="003265CE"/>
    <w:rsid w:val="00336FF8"/>
    <w:rsid w:val="00346086"/>
    <w:rsid w:val="00355B05"/>
    <w:rsid w:val="003704EC"/>
    <w:rsid w:val="00373B82"/>
    <w:rsid w:val="00382E38"/>
    <w:rsid w:val="003A2DAA"/>
    <w:rsid w:val="003A6B66"/>
    <w:rsid w:val="003A7332"/>
    <w:rsid w:val="003B0A83"/>
    <w:rsid w:val="003B12CB"/>
    <w:rsid w:val="003B4F53"/>
    <w:rsid w:val="003C7BE9"/>
    <w:rsid w:val="00402572"/>
    <w:rsid w:val="0042071A"/>
    <w:rsid w:val="00424F85"/>
    <w:rsid w:val="00426122"/>
    <w:rsid w:val="0043786F"/>
    <w:rsid w:val="00443522"/>
    <w:rsid w:val="00444838"/>
    <w:rsid w:val="00457876"/>
    <w:rsid w:val="00463FC5"/>
    <w:rsid w:val="00466465"/>
    <w:rsid w:val="00480221"/>
    <w:rsid w:val="004828C7"/>
    <w:rsid w:val="004C08F4"/>
    <w:rsid w:val="004D4CB5"/>
    <w:rsid w:val="004E3ADC"/>
    <w:rsid w:val="004E6F3C"/>
    <w:rsid w:val="004F2205"/>
    <w:rsid w:val="004F22DD"/>
    <w:rsid w:val="004F7C30"/>
    <w:rsid w:val="0050372F"/>
    <w:rsid w:val="0050515B"/>
    <w:rsid w:val="00510B2C"/>
    <w:rsid w:val="005215EE"/>
    <w:rsid w:val="00535E7A"/>
    <w:rsid w:val="00536350"/>
    <w:rsid w:val="0055419D"/>
    <w:rsid w:val="00555B81"/>
    <w:rsid w:val="00563B3A"/>
    <w:rsid w:val="005648D1"/>
    <w:rsid w:val="0058118B"/>
    <w:rsid w:val="005A6F95"/>
    <w:rsid w:val="005B003A"/>
    <w:rsid w:val="005E76A4"/>
    <w:rsid w:val="005F430A"/>
    <w:rsid w:val="005F4F46"/>
    <w:rsid w:val="00603350"/>
    <w:rsid w:val="00604920"/>
    <w:rsid w:val="006110A3"/>
    <w:rsid w:val="00612402"/>
    <w:rsid w:val="00613B82"/>
    <w:rsid w:val="00627279"/>
    <w:rsid w:val="00632EB9"/>
    <w:rsid w:val="006412A1"/>
    <w:rsid w:val="00641B9F"/>
    <w:rsid w:val="00660847"/>
    <w:rsid w:val="006735C6"/>
    <w:rsid w:val="00673C4C"/>
    <w:rsid w:val="00675A88"/>
    <w:rsid w:val="006911F9"/>
    <w:rsid w:val="006C36B0"/>
    <w:rsid w:val="006C4A02"/>
    <w:rsid w:val="006F5E32"/>
    <w:rsid w:val="00724552"/>
    <w:rsid w:val="00753A85"/>
    <w:rsid w:val="00757B1A"/>
    <w:rsid w:val="00784245"/>
    <w:rsid w:val="007843F9"/>
    <w:rsid w:val="007A10E8"/>
    <w:rsid w:val="007A5469"/>
    <w:rsid w:val="007B0491"/>
    <w:rsid w:val="007B4639"/>
    <w:rsid w:val="007C41F1"/>
    <w:rsid w:val="00800904"/>
    <w:rsid w:val="00860BB4"/>
    <w:rsid w:val="00891D68"/>
    <w:rsid w:val="008B6B8A"/>
    <w:rsid w:val="008E03FC"/>
    <w:rsid w:val="00901BE7"/>
    <w:rsid w:val="00913C23"/>
    <w:rsid w:val="00923FE3"/>
    <w:rsid w:val="009314E5"/>
    <w:rsid w:val="00947198"/>
    <w:rsid w:val="00950132"/>
    <w:rsid w:val="00950C05"/>
    <w:rsid w:val="009841BE"/>
    <w:rsid w:val="009A76FA"/>
    <w:rsid w:val="009B11B8"/>
    <w:rsid w:val="009C1CFA"/>
    <w:rsid w:val="009D2F72"/>
    <w:rsid w:val="009E56DD"/>
    <w:rsid w:val="009F3BC0"/>
    <w:rsid w:val="009F4D2F"/>
    <w:rsid w:val="00A0417A"/>
    <w:rsid w:val="00A10C09"/>
    <w:rsid w:val="00A21692"/>
    <w:rsid w:val="00A33FA8"/>
    <w:rsid w:val="00A43DF6"/>
    <w:rsid w:val="00A655AC"/>
    <w:rsid w:val="00A71126"/>
    <w:rsid w:val="00A81D22"/>
    <w:rsid w:val="00A83175"/>
    <w:rsid w:val="00AA342C"/>
    <w:rsid w:val="00AA3CCF"/>
    <w:rsid w:val="00AB2E60"/>
    <w:rsid w:val="00AB3C4F"/>
    <w:rsid w:val="00AC29FA"/>
    <w:rsid w:val="00AD5EEF"/>
    <w:rsid w:val="00AE0D40"/>
    <w:rsid w:val="00AE13C1"/>
    <w:rsid w:val="00AE2856"/>
    <w:rsid w:val="00AE2BD2"/>
    <w:rsid w:val="00AF1DDB"/>
    <w:rsid w:val="00AF606A"/>
    <w:rsid w:val="00B23DCA"/>
    <w:rsid w:val="00B26542"/>
    <w:rsid w:val="00B315D4"/>
    <w:rsid w:val="00B53480"/>
    <w:rsid w:val="00B70515"/>
    <w:rsid w:val="00B774EA"/>
    <w:rsid w:val="00B83B93"/>
    <w:rsid w:val="00BC2DE0"/>
    <w:rsid w:val="00BE5007"/>
    <w:rsid w:val="00BF6FDD"/>
    <w:rsid w:val="00C0025A"/>
    <w:rsid w:val="00C22C8D"/>
    <w:rsid w:val="00C30449"/>
    <w:rsid w:val="00C34510"/>
    <w:rsid w:val="00C41471"/>
    <w:rsid w:val="00C7627B"/>
    <w:rsid w:val="00C829F4"/>
    <w:rsid w:val="00CB18E5"/>
    <w:rsid w:val="00CD2C8F"/>
    <w:rsid w:val="00CE6D04"/>
    <w:rsid w:val="00CF7064"/>
    <w:rsid w:val="00D01CD6"/>
    <w:rsid w:val="00D02C27"/>
    <w:rsid w:val="00D14747"/>
    <w:rsid w:val="00D204F5"/>
    <w:rsid w:val="00D304CA"/>
    <w:rsid w:val="00D35920"/>
    <w:rsid w:val="00D43F0D"/>
    <w:rsid w:val="00D5252F"/>
    <w:rsid w:val="00D72568"/>
    <w:rsid w:val="00D74C98"/>
    <w:rsid w:val="00D92731"/>
    <w:rsid w:val="00DA1FE4"/>
    <w:rsid w:val="00DA2470"/>
    <w:rsid w:val="00DA6794"/>
    <w:rsid w:val="00DC4C7F"/>
    <w:rsid w:val="00DD6ACF"/>
    <w:rsid w:val="00E12621"/>
    <w:rsid w:val="00E52E5B"/>
    <w:rsid w:val="00E63FE1"/>
    <w:rsid w:val="00E871A9"/>
    <w:rsid w:val="00EA1AB3"/>
    <w:rsid w:val="00EB6C20"/>
    <w:rsid w:val="00EC2AFB"/>
    <w:rsid w:val="00EE6613"/>
    <w:rsid w:val="00F01947"/>
    <w:rsid w:val="00F02775"/>
    <w:rsid w:val="00F165BE"/>
    <w:rsid w:val="00F239D7"/>
    <w:rsid w:val="00F3638C"/>
    <w:rsid w:val="00F56AFD"/>
    <w:rsid w:val="00F660CA"/>
    <w:rsid w:val="00F760F2"/>
    <w:rsid w:val="00F83150"/>
    <w:rsid w:val="00F8781A"/>
    <w:rsid w:val="00F939E7"/>
    <w:rsid w:val="00F9440B"/>
    <w:rsid w:val="00FA6CFA"/>
    <w:rsid w:val="00FC37DD"/>
    <w:rsid w:val="00FC4D22"/>
    <w:rsid w:val="00FE32B7"/>
    <w:rsid w:val="00FE38B4"/>
    <w:rsid w:val="00FE7CCB"/>
    <w:rsid w:val="010D6029"/>
    <w:rsid w:val="018A58CB"/>
    <w:rsid w:val="01B841E6"/>
    <w:rsid w:val="02013704"/>
    <w:rsid w:val="026003DA"/>
    <w:rsid w:val="0276777B"/>
    <w:rsid w:val="02873BB9"/>
    <w:rsid w:val="028F741D"/>
    <w:rsid w:val="02D50DC8"/>
    <w:rsid w:val="02FC45A7"/>
    <w:rsid w:val="031E7E41"/>
    <w:rsid w:val="03247659"/>
    <w:rsid w:val="03460D75"/>
    <w:rsid w:val="03483348"/>
    <w:rsid w:val="03541CED"/>
    <w:rsid w:val="03953E75"/>
    <w:rsid w:val="03B920E2"/>
    <w:rsid w:val="03B94246"/>
    <w:rsid w:val="03E5503B"/>
    <w:rsid w:val="03FD2384"/>
    <w:rsid w:val="04041965"/>
    <w:rsid w:val="04043713"/>
    <w:rsid w:val="042B560C"/>
    <w:rsid w:val="043E3147"/>
    <w:rsid w:val="04567CE7"/>
    <w:rsid w:val="045F6B9B"/>
    <w:rsid w:val="046B249C"/>
    <w:rsid w:val="04785EAF"/>
    <w:rsid w:val="04884340"/>
    <w:rsid w:val="049D76C3"/>
    <w:rsid w:val="04DF7CDC"/>
    <w:rsid w:val="04E2157A"/>
    <w:rsid w:val="04FF212C"/>
    <w:rsid w:val="052A53FB"/>
    <w:rsid w:val="053973EC"/>
    <w:rsid w:val="053F077B"/>
    <w:rsid w:val="05834B0B"/>
    <w:rsid w:val="058663AA"/>
    <w:rsid w:val="05892A94"/>
    <w:rsid w:val="05B945AD"/>
    <w:rsid w:val="05ED3628"/>
    <w:rsid w:val="060379FA"/>
    <w:rsid w:val="06135E8F"/>
    <w:rsid w:val="06450013"/>
    <w:rsid w:val="066C1A43"/>
    <w:rsid w:val="06AE7966"/>
    <w:rsid w:val="06B807E5"/>
    <w:rsid w:val="06E8731C"/>
    <w:rsid w:val="06EC66E0"/>
    <w:rsid w:val="072C2FDB"/>
    <w:rsid w:val="072D11D3"/>
    <w:rsid w:val="0781151E"/>
    <w:rsid w:val="0781507A"/>
    <w:rsid w:val="07972AF0"/>
    <w:rsid w:val="07C37770"/>
    <w:rsid w:val="07C82CA9"/>
    <w:rsid w:val="07D66D31"/>
    <w:rsid w:val="08331008"/>
    <w:rsid w:val="08406CE4"/>
    <w:rsid w:val="08493DEA"/>
    <w:rsid w:val="08602EE2"/>
    <w:rsid w:val="087921F6"/>
    <w:rsid w:val="0890268D"/>
    <w:rsid w:val="08B80F70"/>
    <w:rsid w:val="08D31906"/>
    <w:rsid w:val="08E51639"/>
    <w:rsid w:val="090D12BC"/>
    <w:rsid w:val="096864F2"/>
    <w:rsid w:val="09970B85"/>
    <w:rsid w:val="09D9119E"/>
    <w:rsid w:val="0A236C41"/>
    <w:rsid w:val="0A5B1BB3"/>
    <w:rsid w:val="0A654177"/>
    <w:rsid w:val="0A73514E"/>
    <w:rsid w:val="0A846EC3"/>
    <w:rsid w:val="0AD100C7"/>
    <w:rsid w:val="0AF67B2D"/>
    <w:rsid w:val="0B1D50BA"/>
    <w:rsid w:val="0B345072"/>
    <w:rsid w:val="0B36617C"/>
    <w:rsid w:val="0B4E1717"/>
    <w:rsid w:val="0BA43A22"/>
    <w:rsid w:val="0BC63A34"/>
    <w:rsid w:val="0BDF6813"/>
    <w:rsid w:val="0BE4725F"/>
    <w:rsid w:val="0BF4406D"/>
    <w:rsid w:val="0C2F32F7"/>
    <w:rsid w:val="0C474AE5"/>
    <w:rsid w:val="0C4D19CF"/>
    <w:rsid w:val="0C9E222B"/>
    <w:rsid w:val="0CBC413D"/>
    <w:rsid w:val="0CBD7DCB"/>
    <w:rsid w:val="0CDD71F7"/>
    <w:rsid w:val="0CEA6D23"/>
    <w:rsid w:val="0D076022"/>
    <w:rsid w:val="0D104D51"/>
    <w:rsid w:val="0D123B84"/>
    <w:rsid w:val="0D3A1034"/>
    <w:rsid w:val="0D46354D"/>
    <w:rsid w:val="0D5A0848"/>
    <w:rsid w:val="0D731909"/>
    <w:rsid w:val="0D7A1750"/>
    <w:rsid w:val="0DA11FD2"/>
    <w:rsid w:val="0DAE46EF"/>
    <w:rsid w:val="0E0367E9"/>
    <w:rsid w:val="0E0D6FCA"/>
    <w:rsid w:val="0E172295"/>
    <w:rsid w:val="0E5E7EC3"/>
    <w:rsid w:val="0E6F0323"/>
    <w:rsid w:val="0E99714E"/>
    <w:rsid w:val="0E9D0085"/>
    <w:rsid w:val="0ECE329B"/>
    <w:rsid w:val="0EF6634E"/>
    <w:rsid w:val="0F046CBD"/>
    <w:rsid w:val="0F3B6457"/>
    <w:rsid w:val="0F565DC7"/>
    <w:rsid w:val="0F5B2655"/>
    <w:rsid w:val="0F5D63CD"/>
    <w:rsid w:val="0F753717"/>
    <w:rsid w:val="0FD07183"/>
    <w:rsid w:val="0FDC3796"/>
    <w:rsid w:val="0FED44E3"/>
    <w:rsid w:val="10611EED"/>
    <w:rsid w:val="109B53FF"/>
    <w:rsid w:val="109D1177"/>
    <w:rsid w:val="10A2637C"/>
    <w:rsid w:val="10CE574C"/>
    <w:rsid w:val="10D12BCF"/>
    <w:rsid w:val="11056D1C"/>
    <w:rsid w:val="11074842"/>
    <w:rsid w:val="113118BF"/>
    <w:rsid w:val="116F23E8"/>
    <w:rsid w:val="118C4D48"/>
    <w:rsid w:val="119B4F8B"/>
    <w:rsid w:val="11A958FA"/>
    <w:rsid w:val="11B00A36"/>
    <w:rsid w:val="11B37942"/>
    <w:rsid w:val="11BA18B5"/>
    <w:rsid w:val="11BF6ECB"/>
    <w:rsid w:val="11CA7218"/>
    <w:rsid w:val="12211934"/>
    <w:rsid w:val="12386C7D"/>
    <w:rsid w:val="125A4E46"/>
    <w:rsid w:val="127203E1"/>
    <w:rsid w:val="128123D2"/>
    <w:rsid w:val="12A54313"/>
    <w:rsid w:val="12A71D0C"/>
    <w:rsid w:val="12D50B2C"/>
    <w:rsid w:val="12E110C3"/>
    <w:rsid w:val="12F157AA"/>
    <w:rsid w:val="1319085D"/>
    <w:rsid w:val="1360648C"/>
    <w:rsid w:val="138C54D3"/>
    <w:rsid w:val="139031E4"/>
    <w:rsid w:val="13DD5D2E"/>
    <w:rsid w:val="13F82B68"/>
    <w:rsid w:val="14101C60"/>
    <w:rsid w:val="1433594E"/>
    <w:rsid w:val="14726477"/>
    <w:rsid w:val="14B01414"/>
    <w:rsid w:val="14CF5677"/>
    <w:rsid w:val="15202377"/>
    <w:rsid w:val="153A4BD1"/>
    <w:rsid w:val="154F67B8"/>
    <w:rsid w:val="155618F4"/>
    <w:rsid w:val="15657D89"/>
    <w:rsid w:val="15836462"/>
    <w:rsid w:val="158B3902"/>
    <w:rsid w:val="15D13671"/>
    <w:rsid w:val="15E72E94"/>
    <w:rsid w:val="15EA028F"/>
    <w:rsid w:val="16077093"/>
    <w:rsid w:val="16094BB9"/>
    <w:rsid w:val="163A474D"/>
    <w:rsid w:val="16465E0D"/>
    <w:rsid w:val="16571DC8"/>
    <w:rsid w:val="165F2A2B"/>
    <w:rsid w:val="16640041"/>
    <w:rsid w:val="16677B31"/>
    <w:rsid w:val="167C1D32"/>
    <w:rsid w:val="167F4E7B"/>
    <w:rsid w:val="16E178E4"/>
    <w:rsid w:val="16F47617"/>
    <w:rsid w:val="17465999"/>
    <w:rsid w:val="174D31CB"/>
    <w:rsid w:val="174F484D"/>
    <w:rsid w:val="17637A3A"/>
    <w:rsid w:val="17AA4179"/>
    <w:rsid w:val="17D416DB"/>
    <w:rsid w:val="17F673BF"/>
    <w:rsid w:val="18095B7B"/>
    <w:rsid w:val="1824217E"/>
    <w:rsid w:val="184E2D57"/>
    <w:rsid w:val="185365BF"/>
    <w:rsid w:val="18585984"/>
    <w:rsid w:val="186407CC"/>
    <w:rsid w:val="18820C52"/>
    <w:rsid w:val="18980476"/>
    <w:rsid w:val="18A86455"/>
    <w:rsid w:val="19265A82"/>
    <w:rsid w:val="196547FC"/>
    <w:rsid w:val="196566AE"/>
    <w:rsid w:val="19805192"/>
    <w:rsid w:val="19A97716"/>
    <w:rsid w:val="19B27315"/>
    <w:rsid w:val="19C84D8B"/>
    <w:rsid w:val="19E51250"/>
    <w:rsid w:val="19EE65EA"/>
    <w:rsid w:val="19F33BB6"/>
    <w:rsid w:val="19FB0CBC"/>
    <w:rsid w:val="1A50511F"/>
    <w:rsid w:val="1A5D54D3"/>
    <w:rsid w:val="1A6E76E0"/>
    <w:rsid w:val="1A7D7923"/>
    <w:rsid w:val="1AB175CD"/>
    <w:rsid w:val="1AB24A89"/>
    <w:rsid w:val="1ABA2925"/>
    <w:rsid w:val="1AC15A62"/>
    <w:rsid w:val="1B083691"/>
    <w:rsid w:val="1B0E4A1F"/>
    <w:rsid w:val="1B20508D"/>
    <w:rsid w:val="1B4A490B"/>
    <w:rsid w:val="1B4B5C73"/>
    <w:rsid w:val="1B505038"/>
    <w:rsid w:val="1BB455C7"/>
    <w:rsid w:val="1BB630ED"/>
    <w:rsid w:val="1BD6553D"/>
    <w:rsid w:val="1BEC4D61"/>
    <w:rsid w:val="1C0D4CD7"/>
    <w:rsid w:val="1C142509"/>
    <w:rsid w:val="1C28551E"/>
    <w:rsid w:val="1C646FED"/>
    <w:rsid w:val="1C7B60E4"/>
    <w:rsid w:val="1C8C6544"/>
    <w:rsid w:val="1CCE26B8"/>
    <w:rsid w:val="1CD557F5"/>
    <w:rsid w:val="1CDD6D9F"/>
    <w:rsid w:val="1CEC0D90"/>
    <w:rsid w:val="1D104A7F"/>
    <w:rsid w:val="1D322C47"/>
    <w:rsid w:val="1D3369BF"/>
    <w:rsid w:val="1D356CC6"/>
    <w:rsid w:val="1D644DCB"/>
    <w:rsid w:val="1D6B6159"/>
    <w:rsid w:val="1D8F1E47"/>
    <w:rsid w:val="1D9F5E03"/>
    <w:rsid w:val="1DB61FAF"/>
    <w:rsid w:val="1DC00253"/>
    <w:rsid w:val="1DF50CE4"/>
    <w:rsid w:val="1E0D5462"/>
    <w:rsid w:val="1E5F5CBE"/>
    <w:rsid w:val="1E74103D"/>
    <w:rsid w:val="1EAE7EAF"/>
    <w:rsid w:val="1EDD6E46"/>
    <w:rsid w:val="1EFF4DAB"/>
    <w:rsid w:val="1F130856"/>
    <w:rsid w:val="1F5E6FA0"/>
    <w:rsid w:val="1F6D440A"/>
    <w:rsid w:val="1F75506D"/>
    <w:rsid w:val="1F7E2174"/>
    <w:rsid w:val="1F9F41D3"/>
    <w:rsid w:val="1FAD2A59"/>
    <w:rsid w:val="1FC57DA2"/>
    <w:rsid w:val="1FC61D6D"/>
    <w:rsid w:val="1FE12702"/>
    <w:rsid w:val="200563F1"/>
    <w:rsid w:val="20205104"/>
    <w:rsid w:val="20230F6D"/>
    <w:rsid w:val="20232D1B"/>
    <w:rsid w:val="204F1D62"/>
    <w:rsid w:val="204F3A2A"/>
    <w:rsid w:val="20523600"/>
    <w:rsid w:val="205904EB"/>
    <w:rsid w:val="20801F1B"/>
    <w:rsid w:val="209459C7"/>
    <w:rsid w:val="20C444FE"/>
    <w:rsid w:val="20DC60D3"/>
    <w:rsid w:val="20F9164F"/>
    <w:rsid w:val="214837B0"/>
    <w:rsid w:val="21680B59"/>
    <w:rsid w:val="216E3202"/>
    <w:rsid w:val="21BA145D"/>
    <w:rsid w:val="21C83E17"/>
    <w:rsid w:val="21C916A0"/>
    <w:rsid w:val="21DD1B03"/>
    <w:rsid w:val="21E47825"/>
    <w:rsid w:val="220F3557"/>
    <w:rsid w:val="224C47AB"/>
    <w:rsid w:val="22604950"/>
    <w:rsid w:val="227710FC"/>
    <w:rsid w:val="22B8599C"/>
    <w:rsid w:val="22C5630B"/>
    <w:rsid w:val="22D4654E"/>
    <w:rsid w:val="23502079"/>
    <w:rsid w:val="23515DF1"/>
    <w:rsid w:val="23A61C99"/>
    <w:rsid w:val="23B00D6A"/>
    <w:rsid w:val="23CB5BA3"/>
    <w:rsid w:val="23D700A4"/>
    <w:rsid w:val="23DC1B5F"/>
    <w:rsid w:val="24003A9F"/>
    <w:rsid w:val="244F7013"/>
    <w:rsid w:val="247842C1"/>
    <w:rsid w:val="24952B9C"/>
    <w:rsid w:val="249D7540"/>
    <w:rsid w:val="24D942F0"/>
    <w:rsid w:val="24ED0FDA"/>
    <w:rsid w:val="251B66B7"/>
    <w:rsid w:val="2533755C"/>
    <w:rsid w:val="25551BC9"/>
    <w:rsid w:val="25735DA9"/>
    <w:rsid w:val="25CD79B1"/>
    <w:rsid w:val="25D725DE"/>
    <w:rsid w:val="26494ECA"/>
    <w:rsid w:val="267B1729"/>
    <w:rsid w:val="269B7AAF"/>
    <w:rsid w:val="26D92292"/>
    <w:rsid w:val="26F176CF"/>
    <w:rsid w:val="26F60889"/>
    <w:rsid w:val="26F63825"/>
    <w:rsid w:val="270A69E3"/>
    <w:rsid w:val="270C635A"/>
    <w:rsid w:val="27101171"/>
    <w:rsid w:val="272B79BF"/>
    <w:rsid w:val="27495A05"/>
    <w:rsid w:val="2749750B"/>
    <w:rsid w:val="275E288B"/>
    <w:rsid w:val="276C0884"/>
    <w:rsid w:val="276E0D20"/>
    <w:rsid w:val="2790513A"/>
    <w:rsid w:val="279E3A83"/>
    <w:rsid w:val="27D72192"/>
    <w:rsid w:val="27F54F9D"/>
    <w:rsid w:val="283C2BCC"/>
    <w:rsid w:val="28515A72"/>
    <w:rsid w:val="287F6F5C"/>
    <w:rsid w:val="28DB3286"/>
    <w:rsid w:val="290F02E0"/>
    <w:rsid w:val="29453572"/>
    <w:rsid w:val="29471828"/>
    <w:rsid w:val="296A3769"/>
    <w:rsid w:val="2985710D"/>
    <w:rsid w:val="29D6381D"/>
    <w:rsid w:val="29DF4157"/>
    <w:rsid w:val="29EA6657"/>
    <w:rsid w:val="29F3375E"/>
    <w:rsid w:val="2A111E36"/>
    <w:rsid w:val="2A21651D"/>
    <w:rsid w:val="2A4D7312"/>
    <w:rsid w:val="2A9E7B6E"/>
    <w:rsid w:val="2AB70C30"/>
    <w:rsid w:val="2AC62C21"/>
    <w:rsid w:val="2ACA2711"/>
    <w:rsid w:val="2ADC6528"/>
    <w:rsid w:val="2B125E66"/>
    <w:rsid w:val="2B1716CE"/>
    <w:rsid w:val="2B45623B"/>
    <w:rsid w:val="2B666980"/>
    <w:rsid w:val="2B6761B2"/>
    <w:rsid w:val="2B7B7EAF"/>
    <w:rsid w:val="2B801021"/>
    <w:rsid w:val="2B883DE2"/>
    <w:rsid w:val="2B944ACD"/>
    <w:rsid w:val="2B9B30E3"/>
    <w:rsid w:val="2B9D1BD3"/>
    <w:rsid w:val="2BB37649"/>
    <w:rsid w:val="2BBE3B5B"/>
    <w:rsid w:val="2BDE4A6A"/>
    <w:rsid w:val="2C1D4AC2"/>
    <w:rsid w:val="2C9A6113"/>
    <w:rsid w:val="2C9F279A"/>
    <w:rsid w:val="2CE526DA"/>
    <w:rsid w:val="2CF73565"/>
    <w:rsid w:val="2D314CC9"/>
    <w:rsid w:val="2D35408E"/>
    <w:rsid w:val="2D4B38B1"/>
    <w:rsid w:val="2D825525"/>
    <w:rsid w:val="2D856DC3"/>
    <w:rsid w:val="2D8B4C35"/>
    <w:rsid w:val="2DA846A6"/>
    <w:rsid w:val="2DC378EB"/>
    <w:rsid w:val="2DF53CB4"/>
    <w:rsid w:val="2E0C3040"/>
    <w:rsid w:val="2E2A546B"/>
    <w:rsid w:val="2E516F90"/>
    <w:rsid w:val="2E7F7CB6"/>
    <w:rsid w:val="2E804559"/>
    <w:rsid w:val="2E982B26"/>
    <w:rsid w:val="2EDF7FDA"/>
    <w:rsid w:val="2F3C7955"/>
    <w:rsid w:val="2F3D5C2B"/>
    <w:rsid w:val="2F462582"/>
    <w:rsid w:val="2F46489B"/>
    <w:rsid w:val="2F7366F2"/>
    <w:rsid w:val="2FEC137B"/>
    <w:rsid w:val="301601A6"/>
    <w:rsid w:val="30374D35"/>
    <w:rsid w:val="304E5B92"/>
    <w:rsid w:val="304F5440"/>
    <w:rsid w:val="30D36097"/>
    <w:rsid w:val="31436D79"/>
    <w:rsid w:val="31466869"/>
    <w:rsid w:val="31472781"/>
    <w:rsid w:val="31576CC8"/>
    <w:rsid w:val="316F4012"/>
    <w:rsid w:val="317E6003"/>
    <w:rsid w:val="31A041CB"/>
    <w:rsid w:val="32525F0A"/>
    <w:rsid w:val="32566F80"/>
    <w:rsid w:val="3273368E"/>
    <w:rsid w:val="32AC4DF2"/>
    <w:rsid w:val="32B2100D"/>
    <w:rsid w:val="32BA306B"/>
    <w:rsid w:val="32BE1955"/>
    <w:rsid w:val="32E8504F"/>
    <w:rsid w:val="331A1D5C"/>
    <w:rsid w:val="33236245"/>
    <w:rsid w:val="33296443"/>
    <w:rsid w:val="333A0650"/>
    <w:rsid w:val="334868C9"/>
    <w:rsid w:val="335E60EC"/>
    <w:rsid w:val="33655D39"/>
    <w:rsid w:val="338D077F"/>
    <w:rsid w:val="33A63FB8"/>
    <w:rsid w:val="33D12052"/>
    <w:rsid w:val="33D12D62"/>
    <w:rsid w:val="345920CE"/>
    <w:rsid w:val="34977A57"/>
    <w:rsid w:val="34C409E9"/>
    <w:rsid w:val="34C55A99"/>
    <w:rsid w:val="34DA1B5C"/>
    <w:rsid w:val="34FA62E8"/>
    <w:rsid w:val="35132F06"/>
    <w:rsid w:val="351647A5"/>
    <w:rsid w:val="3517047C"/>
    <w:rsid w:val="351C625F"/>
    <w:rsid w:val="357532E4"/>
    <w:rsid w:val="359B3E03"/>
    <w:rsid w:val="35A40002"/>
    <w:rsid w:val="35B9585C"/>
    <w:rsid w:val="35BA15D4"/>
    <w:rsid w:val="36033AE1"/>
    <w:rsid w:val="36064819"/>
    <w:rsid w:val="368A544A"/>
    <w:rsid w:val="369102BB"/>
    <w:rsid w:val="36967F30"/>
    <w:rsid w:val="36A858D0"/>
    <w:rsid w:val="36AD2EE7"/>
    <w:rsid w:val="36BB66FD"/>
    <w:rsid w:val="37164F30"/>
    <w:rsid w:val="373B7263"/>
    <w:rsid w:val="375A306E"/>
    <w:rsid w:val="37C87FD8"/>
    <w:rsid w:val="37EB016A"/>
    <w:rsid w:val="37F01865"/>
    <w:rsid w:val="37FC5ED4"/>
    <w:rsid w:val="38124988"/>
    <w:rsid w:val="3834566E"/>
    <w:rsid w:val="388365F5"/>
    <w:rsid w:val="388D4D7E"/>
    <w:rsid w:val="388F4F9A"/>
    <w:rsid w:val="38967F77"/>
    <w:rsid w:val="38A547BD"/>
    <w:rsid w:val="38C23DE9"/>
    <w:rsid w:val="38D468E4"/>
    <w:rsid w:val="38F372D7"/>
    <w:rsid w:val="392918CB"/>
    <w:rsid w:val="39693A3D"/>
    <w:rsid w:val="397321C6"/>
    <w:rsid w:val="3991191A"/>
    <w:rsid w:val="399D4784"/>
    <w:rsid w:val="39A71E6F"/>
    <w:rsid w:val="39BD78E5"/>
    <w:rsid w:val="39E9692C"/>
    <w:rsid w:val="3A0D43C8"/>
    <w:rsid w:val="3A4564B5"/>
    <w:rsid w:val="3A7461F5"/>
    <w:rsid w:val="3A841927"/>
    <w:rsid w:val="3AD22D63"/>
    <w:rsid w:val="3ADB6274"/>
    <w:rsid w:val="3AE50EA1"/>
    <w:rsid w:val="3AF9494C"/>
    <w:rsid w:val="3B4007CD"/>
    <w:rsid w:val="3B516536"/>
    <w:rsid w:val="3B817199"/>
    <w:rsid w:val="3B893F22"/>
    <w:rsid w:val="3B9F3746"/>
    <w:rsid w:val="3C0F2225"/>
    <w:rsid w:val="3C2E6878"/>
    <w:rsid w:val="3C487939"/>
    <w:rsid w:val="3C771FCD"/>
    <w:rsid w:val="3C8D6065"/>
    <w:rsid w:val="3CC441C6"/>
    <w:rsid w:val="3CCA47F2"/>
    <w:rsid w:val="3CCF3BB7"/>
    <w:rsid w:val="3CF83C4A"/>
    <w:rsid w:val="3CFC24D2"/>
    <w:rsid w:val="3D18555E"/>
    <w:rsid w:val="3D477BF1"/>
    <w:rsid w:val="3D54230E"/>
    <w:rsid w:val="3DC954EA"/>
    <w:rsid w:val="3E057A17"/>
    <w:rsid w:val="3E2A50BA"/>
    <w:rsid w:val="3E2D5039"/>
    <w:rsid w:val="3E832EAB"/>
    <w:rsid w:val="3ED90D1D"/>
    <w:rsid w:val="3F0A537A"/>
    <w:rsid w:val="3F122481"/>
    <w:rsid w:val="3F2D2E17"/>
    <w:rsid w:val="3FA0183A"/>
    <w:rsid w:val="3FB84DD6"/>
    <w:rsid w:val="3FBF6165"/>
    <w:rsid w:val="3FC00E7F"/>
    <w:rsid w:val="3FCE63A8"/>
    <w:rsid w:val="3FD00372"/>
    <w:rsid w:val="3FD140EA"/>
    <w:rsid w:val="3FFD6C8D"/>
    <w:rsid w:val="402C1320"/>
    <w:rsid w:val="40550877"/>
    <w:rsid w:val="405C39B3"/>
    <w:rsid w:val="40664832"/>
    <w:rsid w:val="40703903"/>
    <w:rsid w:val="40994C08"/>
    <w:rsid w:val="40AB66E9"/>
    <w:rsid w:val="40CD2B03"/>
    <w:rsid w:val="40EE3B83"/>
    <w:rsid w:val="410D7280"/>
    <w:rsid w:val="411A73CB"/>
    <w:rsid w:val="411C1395"/>
    <w:rsid w:val="41466412"/>
    <w:rsid w:val="41C04416"/>
    <w:rsid w:val="422E71D1"/>
    <w:rsid w:val="4259700D"/>
    <w:rsid w:val="427D40B5"/>
    <w:rsid w:val="428E62C2"/>
    <w:rsid w:val="42CA28A0"/>
    <w:rsid w:val="42D9578F"/>
    <w:rsid w:val="43061F60"/>
    <w:rsid w:val="43670FED"/>
    <w:rsid w:val="437234EE"/>
    <w:rsid w:val="43784FA8"/>
    <w:rsid w:val="43B6502F"/>
    <w:rsid w:val="43C114AA"/>
    <w:rsid w:val="441B3B85"/>
    <w:rsid w:val="445A645C"/>
    <w:rsid w:val="445B21D4"/>
    <w:rsid w:val="446948F1"/>
    <w:rsid w:val="44F06DC0"/>
    <w:rsid w:val="45147B23"/>
    <w:rsid w:val="452458BF"/>
    <w:rsid w:val="452E6C4E"/>
    <w:rsid w:val="453F38A4"/>
    <w:rsid w:val="4554734F"/>
    <w:rsid w:val="45594965"/>
    <w:rsid w:val="45863281"/>
    <w:rsid w:val="45887187"/>
    <w:rsid w:val="45BF0BE7"/>
    <w:rsid w:val="45D4223E"/>
    <w:rsid w:val="45E36925"/>
    <w:rsid w:val="461B46CF"/>
    <w:rsid w:val="462431C5"/>
    <w:rsid w:val="462F1B6A"/>
    <w:rsid w:val="462F56C6"/>
    <w:rsid w:val="464A2500"/>
    <w:rsid w:val="465B56CC"/>
    <w:rsid w:val="46756489"/>
    <w:rsid w:val="46804174"/>
    <w:rsid w:val="46933EA7"/>
    <w:rsid w:val="46963997"/>
    <w:rsid w:val="46BF2EEE"/>
    <w:rsid w:val="46D01EA2"/>
    <w:rsid w:val="46E62229"/>
    <w:rsid w:val="46ED1809"/>
    <w:rsid w:val="472E3BD0"/>
    <w:rsid w:val="47374E93"/>
    <w:rsid w:val="474D10FD"/>
    <w:rsid w:val="47573126"/>
    <w:rsid w:val="477F13E1"/>
    <w:rsid w:val="479577A4"/>
    <w:rsid w:val="479C7D67"/>
    <w:rsid w:val="47AF34B2"/>
    <w:rsid w:val="47C85DD2"/>
    <w:rsid w:val="47ED3943"/>
    <w:rsid w:val="47F15329"/>
    <w:rsid w:val="487A56A8"/>
    <w:rsid w:val="48AC1250"/>
    <w:rsid w:val="490B241B"/>
    <w:rsid w:val="496833C9"/>
    <w:rsid w:val="49885819"/>
    <w:rsid w:val="499917D4"/>
    <w:rsid w:val="49AE2DA6"/>
    <w:rsid w:val="49ED38CE"/>
    <w:rsid w:val="4A282B58"/>
    <w:rsid w:val="4A477482"/>
    <w:rsid w:val="4A5120AF"/>
    <w:rsid w:val="4A8F086C"/>
    <w:rsid w:val="4AC565F9"/>
    <w:rsid w:val="4AD8632C"/>
    <w:rsid w:val="4ADD30F4"/>
    <w:rsid w:val="4B3612A5"/>
    <w:rsid w:val="4B56017C"/>
    <w:rsid w:val="4B7E0B22"/>
    <w:rsid w:val="4B8464B4"/>
    <w:rsid w:val="4BD9235C"/>
    <w:rsid w:val="4BEB02E1"/>
    <w:rsid w:val="4BF2341E"/>
    <w:rsid w:val="4C080E93"/>
    <w:rsid w:val="4C9D15DC"/>
    <w:rsid w:val="4CA46E0E"/>
    <w:rsid w:val="4D166448"/>
    <w:rsid w:val="4D2B308B"/>
    <w:rsid w:val="4D3D09A3"/>
    <w:rsid w:val="4D552DC4"/>
    <w:rsid w:val="4D9A1FBF"/>
    <w:rsid w:val="4DD3727F"/>
    <w:rsid w:val="4DF5709E"/>
    <w:rsid w:val="4E1F24C4"/>
    <w:rsid w:val="4E4A7541"/>
    <w:rsid w:val="4E50518F"/>
    <w:rsid w:val="4E593C28"/>
    <w:rsid w:val="4E712D20"/>
    <w:rsid w:val="4E9B5FEF"/>
    <w:rsid w:val="4EAE1F59"/>
    <w:rsid w:val="4ED20E0E"/>
    <w:rsid w:val="4F05790C"/>
    <w:rsid w:val="4F644633"/>
    <w:rsid w:val="4F786330"/>
    <w:rsid w:val="4F7D3946"/>
    <w:rsid w:val="4FD86DCF"/>
    <w:rsid w:val="4FDD6193"/>
    <w:rsid w:val="500D10AF"/>
    <w:rsid w:val="501A73E7"/>
    <w:rsid w:val="502913D8"/>
    <w:rsid w:val="50970A38"/>
    <w:rsid w:val="50B415EA"/>
    <w:rsid w:val="50C3182D"/>
    <w:rsid w:val="50EA0B67"/>
    <w:rsid w:val="51046E4F"/>
    <w:rsid w:val="510D2AA8"/>
    <w:rsid w:val="511B51C5"/>
    <w:rsid w:val="513652CE"/>
    <w:rsid w:val="513B7615"/>
    <w:rsid w:val="516E1798"/>
    <w:rsid w:val="51CB53D8"/>
    <w:rsid w:val="51DF4444"/>
    <w:rsid w:val="52752D38"/>
    <w:rsid w:val="52A336C4"/>
    <w:rsid w:val="52DC6BD6"/>
    <w:rsid w:val="5345477B"/>
    <w:rsid w:val="534722A1"/>
    <w:rsid w:val="535511C2"/>
    <w:rsid w:val="5371731E"/>
    <w:rsid w:val="537C0154"/>
    <w:rsid w:val="53A1157B"/>
    <w:rsid w:val="53AB0A82"/>
    <w:rsid w:val="53BB67EB"/>
    <w:rsid w:val="53C02053"/>
    <w:rsid w:val="53FA5565"/>
    <w:rsid w:val="54505185"/>
    <w:rsid w:val="5463310B"/>
    <w:rsid w:val="54686973"/>
    <w:rsid w:val="547909A1"/>
    <w:rsid w:val="549A28A4"/>
    <w:rsid w:val="54ED50CA"/>
    <w:rsid w:val="54FA4BAF"/>
    <w:rsid w:val="550C4CAA"/>
    <w:rsid w:val="550D751A"/>
    <w:rsid w:val="552E57E0"/>
    <w:rsid w:val="55592760"/>
    <w:rsid w:val="557D644E"/>
    <w:rsid w:val="558A2919"/>
    <w:rsid w:val="5591600D"/>
    <w:rsid w:val="55A80C91"/>
    <w:rsid w:val="55BB6F76"/>
    <w:rsid w:val="55BF6A67"/>
    <w:rsid w:val="55FA184D"/>
    <w:rsid w:val="56066443"/>
    <w:rsid w:val="56617B1E"/>
    <w:rsid w:val="567C0C5D"/>
    <w:rsid w:val="5697353F"/>
    <w:rsid w:val="569E7E37"/>
    <w:rsid w:val="571C3A45"/>
    <w:rsid w:val="573A5D9A"/>
    <w:rsid w:val="57446593"/>
    <w:rsid w:val="57547004"/>
    <w:rsid w:val="57770C7B"/>
    <w:rsid w:val="57961E9C"/>
    <w:rsid w:val="57AC6B77"/>
    <w:rsid w:val="57C87729"/>
    <w:rsid w:val="583077A8"/>
    <w:rsid w:val="58353010"/>
    <w:rsid w:val="583628E4"/>
    <w:rsid w:val="585A0F0D"/>
    <w:rsid w:val="58647451"/>
    <w:rsid w:val="588D3BA5"/>
    <w:rsid w:val="589A2127"/>
    <w:rsid w:val="58DF2266"/>
    <w:rsid w:val="58E3481A"/>
    <w:rsid w:val="5904491F"/>
    <w:rsid w:val="59080725"/>
    <w:rsid w:val="597F4342"/>
    <w:rsid w:val="59C654F0"/>
    <w:rsid w:val="59DB1995"/>
    <w:rsid w:val="59F667CF"/>
    <w:rsid w:val="5A0F4559"/>
    <w:rsid w:val="5A146C55"/>
    <w:rsid w:val="5A2A46CB"/>
    <w:rsid w:val="5A2E6DC3"/>
    <w:rsid w:val="5A306671"/>
    <w:rsid w:val="5A323AEF"/>
    <w:rsid w:val="5A3F1F24"/>
    <w:rsid w:val="5AC42429"/>
    <w:rsid w:val="5ACE5056"/>
    <w:rsid w:val="5AE26D53"/>
    <w:rsid w:val="5B1A64ED"/>
    <w:rsid w:val="5B9938B6"/>
    <w:rsid w:val="5BA34735"/>
    <w:rsid w:val="5BB66216"/>
    <w:rsid w:val="5BC412B1"/>
    <w:rsid w:val="5BD60666"/>
    <w:rsid w:val="5BF5288B"/>
    <w:rsid w:val="5C0056E3"/>
    <w:rsid w:val="5C2E04A2"/>
    <w:rsid w:val="5C311D40"/>
    <w:rsid w:val="5C89392A"/>
    <w:rsid w:val="5C9A154B"/>
    <w:rsid w:val="5CAC586B"/>
    <w:rsid w:val="5CBD1826"/>
    <w:rsid w:val="5CEB0141"/>
    <w:rsid w:val="5D034EAB"/>
    <w:rsid w:val="5D047455"/>
    <w:rsid w:val="5D0631CD"/>
    <w:rsid w:val="5D0C18CB"/>
    <w:rsid w:val="5D577585"/>
    <w:rsid w:val="5D9E51B4"/>
    <w:rsid w:val="5E0C4813"/>
    <w:rsid w:val="5E2F22B0"/>
    <w:rsid w:val="5E761C8C"/>
    <w:rsid w:val="5E916AC6"/>
    <w:rsid w:val="5E924825"/>
    <w:rsid w:val="5EA362A4"/>
    <w:rsid w:val="5F076D88"/>
    <w:rsid w:val="5F73441E"/>
    <w:rsid w:val="5FE61094"/>
    <w:rsid w:val="5FEB0458"/>
    <w:rsid w:val="5FF732A1"/>
    <w:rsid w:val="602358E4"/>
    <w:rsid w:val="60340051"/>
    <w:rsid w:val="60410761"/>
    <w:rsid w:val="607600E6"/>
    <w:rsid w:val="60BE791B"/>
    <w:rsid w:val="60FE64AB"/>
    <w:rsid w:val="61157CCD"/>
    <w:rsid w:val="61571C70"/>
    <w:rsid w:val="61573FF7"/>
    <w:rsid w:val="619C5EAE"/>
    <w:rsid w:val="619F599E"/>
    <w:rsid w:val="61E96705"/>
    <w:rsid w:val="621C0D9D"/>
    <w:rsid w:val="62285994"/>
    <w:rsid w:val="623B7475"/>
    <w:rsid w:val="6263077A"/>
    <w:rsid w:val="62DA4EE0"/>
    <w:rsid w:val="62FF4946"/>
    <w:rsid w:val="631101D6"/>
    <w:rsid w:val="63251ED3"/>
    <w:rsid w:val="63411AEC"/>
    <w:rsid w:val="6361115D"/>
    <w:rsid w:val="63640C4D"/>
    <w:rsid w:val="636E387A"/>
    <w:rsid w:val="63754C08"/>
    <w:rsid w:val="637A221F"/>
    <w:rsid w:val="63B35731"/>
    <w:rsid w:val="63E94CAF"/>
    <w:rsid w:val="63F91396"/>
    <w:rsid w:val="64520AA6"/>
    <w:rsid w:val="645667E8"/>
    <w:rsid w:val="646A3866"/>
    <w:rsid w:val="64A70DF2"/>
    <w:rsid w:val="64BE6346"/>
    <w:rsid w:val="64DB0A9B"/>
    <w:rsid w:val="64F352EC"/>
    <w:rsid w:val="651346D9"/>
    <w:rsid w:val="654357C1"/>
    <w:rsid w:val="657809E0"/>
    <w:rsid w:val="65AB7F45"/>
    <w:rsid w:val="65C6174B"/>
    <w:rsid w:val="65E47E23"/>
    <w:rsid w:val="66314612"/>
    <w:rsid w:val="6635067F"/>
    <w:rsid w:val="668A09CB"/>
    <w:rsid w:val="66A03D4A"/>
    <w:rsid w:val="66A650D9"/>
    <w:rsid w:val="66BB0B84"/>
    <w:rsid w:val="66E36B14"/>
    <w:rsid w:val="66EC139B"/>
    <w:rsid w:val="66FC33DC"/>
    <w:rsid w:val="67024A05"/>
    <w:rsid w:val="67144738"/>
    <w:rsid w:val="67163EF1"/>
    <w:rsid w:val="673D3C8F"/>
    <w:rsid w:val="67753429"/>
    <w:rsid w:val="677A27ED"/>
    <w:rsid w:val="67874F0A"/>
    <w:rsid w:val="67BA377B"/>
    <w:rsid w:val="67DB4DC3"/>
    <w:rsid w:val="67DB7004"/>
    <w:rsid w:val="67FD758E"/>
    <w:rsid w:val="681A18DB"/>
    <w:rsid w:val="68224C33"/>
    <w:rsid w:val="68582403"/>
    <w:rsid w:val="685A617B"/>
    <w:rsid w:val="68605586"/>
    <w:rsid w:val="69413F58"/>
    <w:rsid w:val="6942733B"/>
    <w:rsid w:val="696E4CB7"/>
    <w:rsid w:val="69B0699A"/>
    <w:rsid w:val="69BF3F3C"/>
    <w:rsid w:val="6A1C1212"/>
    <w:rsid w:val="6A2353BE"/>
    <w:rsid w:val="6A464C09"/>
    <w:rsid w:val="6A4B221F"/>
    <w:rsid w:val="6AB9187F"/>
    <w:rsid w:val="6AD2649C"/>
    <w:rsid w:val="6AF01018"/>
    <w:rsid w:val="6B2A62D8"/>
    <w:rsid w:val="6B3B6738"/>
    <w:rsid w:val="6B517D09"/>
    <w:rsid w:val="6B650C45"/>
    <w:rsid w:val="6BC404DB"/>
    <w:rsid w:val="6BDB3A77"/>
    <w:rsid w:val="6BDF70C3"/>
    <w:rsid w:val="6BEE7306"/>
    <w:rsid w:val="6C00476E"/>
    <w:rsid w:val="6C315ACC"/>
    <w:rsid w:val="6C4433CA"/>
    <w:rsid w:val="6C507FC1"/>
    <w:rsid w:val="6C922387"/>
    <w:rsid w:val="6C951E77"/>
    <w:rsid w:val="6C953C26"/>
    <w:rsid w:val="6C9C124F"/>
    <w:rsid w:val="6CDE381E"/>
    <w:rsid w:val="6CF07EBA"/>
    <w:rsid w:val="6D1C7EA3"/>
    <w:rsid w:val="6D236CB8"/>
    <w:rsid w:val="6D611D5A"/>
    <w:rsid w:val="6D8343C6"/>
    <w:rsid w:val="6D997745"/>
    <w:rsid w:val="6DD53CBD"/>
    <w:rsid w:val="6DE62EF0"/>
    <w:rsid w:val="6E02353D"/>
    <w:rsid w:val="6E6E6B93"/>
    <w:rsid w:val="6E9C573F"/>
    <w:rsid w:val="6EB044A9"/>
    <w:rsid w:val="6EDD18B4"/>
    <w:rsid w:val="6EE3336E"/>
    <w:rsid w:val="6EE66F8A"/>
    <w:rsid w:val="6F2A4AF9"/>
    <w:rsid w:val="6F2D6397"/>
    <w:rsid w:val="6F356CFE"/>
    <w:rsid w:val="6F4B2CC1"/>
    <w:rsid w:val="6F97113A"/>
    <w:rsid w:val="6FA26D85"/>
    <w:rsid w:val="6FCF56A0"/>
    <w:rsid w:val="6FE80510"/>
    <w:rsid w:val="700D4D3A"/>
    <w:rsid w:val="7027728A"/>
    <w:rsid w:val="70386C15"/>
    <w:rsid w:val="703A5210"/>
    <w:rsid w:val="705138C3"/>
    <w:rsid w:val="70657DB3"/>
    <w:rsid w:val="70AE175A"/>
    <w:rsid w:val="70B52AE8"/>
    <w:rsid w:val="711E3842"/>
    <w:rsid w:val="713A123F"/>
    <w:rsid w:val="714526BB"/>
    <w:rsid w:val="714A3172"/>
    <w:rsid w:val="714B4FC7"/>
    <w:rsid w:val="71520337"/>
    <w:rsid w:val="71804EA4"/>
    <w:rsid w:val="71963D88"/>
    <w:rsid w:val="726C5EF8"/>
    <w:rsid w:val="727A7B45"/>
    <w:rsid w:val="72BD4C72"/>
    <w:rsid w:val="72BD62CD"/>
    <w:rsid w:val="72C07522"/>
    <w:rsid w:val="73010267"/>
    <w:rsid w:val="730B2E93"/>
    <w:rsid w:val="7318110C"/>
    <w:rsid w:val="734D7008"/>
    <w:rsid w:val="73814F04"/>
    <w:rsid w:val="74251D33"/>
    <w:rsid w:val="742A559B"/>
    <w:rsid w:val="743E1047"/>
    <w:rsid w:val="748142F7"/>
    <w:rsid w:val="749649DF"/>
    <w:rsid w:val="74C23A26"/>
    <w:rsid w:val="74D6305D"/>
    <w:rsid w:val="74EB6AD9"/>
    <w:rsid w:val="75063912"/>
    <w:rsid w:val="75096F5F"/>
    <w:rsid w:val="7536274B"/>
    <w:rsid w:val="75646F70"/>
    <w:rsid w:val="758111EB"/>
    <w:rsid w:val="75B23A9A"/>
    <w:rsid w:val="75BA6E2C"/>
    <w:rsid w:val="75C43957"/>
    <w:rsid w:val="761158B3"/>
    <w:rsid w:val="7696084C"/>
    <w:rsid w:val="76967C6D"/>
    <w:rsid w:val="76A258BD"/>
    <w:rsid w:val="76A41635"/>
    <w:rsid w:val="76AF1D88"/>
    <w:rsid w:val="76C23869"/>
    <w:rsid w:val="76DD4B47"/>
    <w:rsid w:val="76E305B2"/>
    <w:rsid w:val="76EC4D8A"/>
    <w:rsid w:val="77204A34"/>
    <w:rsid w:val="773D7394"/>
    <w:rsid w:val="775070C7"/>
    <w:rsid w:val="77BE6726"/>
    <w:rsid w:val="77E45A61"/>
    <w:rsid w:val="77F76D67"/>
    <w:rsid w:val="78300CA6"/>
    <w:rsid w:val="7836450F"/>
    <w:rsid w:val="78B673FD"/>
    <w:rsid w:val="78B96EEE"/>
    <w:rsid w:val="78DE0702"/>
    <w:rsid w:val="78F91C9F"/>
    <w:rsid w:val="79142376"/>
    <w:rsid w:val="795E2969"/>
    <w:rsid w:val="798153CC"/>
    <w:rsid w:val="79870D9A"/>
    <w:rsid w:val="79891A2A"/>
    <w:rsid w:val="799F60E4"/>
    <w:rsid w:val="79BA4E84"/>
    <w:rsid w:val="79CE0777"/>
    <w:rsid w:val="7A4F7B0A"/>
    <w:rsid w:val="7A7B26AD"/>
    <w:rsid w:val="7A8C2B0C"/>
    <w:rsid w:val="7A9B4AFD"/>
    <w:rsid w:val="7AC558F8"/>
    <w:rsid w:val="7AC57DCC"/>
    <w:rsid w:val="7ADB75EF"/>
    <w:rsid w:val="7AE069B4"/>
    <w:rsid w:val="7AF366E7"/>
    <w:rsid w:val="7B113011"/>
    <w:rsid w:val="7B137593"/>
    <w:rsid w:val="7B14665D"/>
    <w:rsid w:val="7B191EC6"/>
    <w:rsid w:val="7B2E70E7"/>
    <w:rsid w:val="7B470223"/>
    <w:rsid w:val="7B566C76"/>
    <w:rsid w:val="7B713AB0"/>
    <w:rsid w:val="7B7470FC"/>
    <w:rsid w:val="7BFA3AA5"/>
    <w:rsid w:val="7C1E11CD"/>
    <w:rsid w:val="7CA51C63"/>
    <w:rsid w:val="7CAA7279"/>
    <w:rsid w:val="7CB65C1E"/>
    <w:rsid w:val="7CBC6FAC"/>
    <w:rsid w:val="7CF76237"/>
    <w:rsid w:val="7CFE1373"/>
    <w:rsid w:val="7D056BA5"/>
    <w:rsid w:val="7D0D27F8"/>
    <w:rsid w:val="7D0E5A5A"/>
    <w:rsid w:val="7D334C5C"/>
    <w:rsid w:val="7DA65E54"/>
    <w:rsid w:val="7DD86AF2"/>
    <w:rsid w:val="7DDF0E52"/>
    <w:rsid w:val="7E5F5EB7"/>
    <w:rsid w:val="7E957AB5"/>
    <w:rsid w:val="7EA748A3"/>
    <w:rsid w:val="7EBB39C0"/>
    <w:rsid w:val="7EDC56E4"/>
    <w:rsid w:val="7EE822DB"/>
    <w:rsid w:val="7F09433B"/>
    <w:rsid w:val="7F325794"/>
    <w:rsid w:val="7F5160D2"/>
    <w:rsid w:val="7F5B2AAD"/>
    <w:rsid w:val="7F5D4A98"/>
    <w:rsid w:val="7F65392B"/>
    <w:rsid w:val="7FAD3B2B"/>
    <w:rsid w:val="7FDA60C7"/>
    <w:rsid w:val="7FED3E4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8"/>
    <w:semiHidden/>
    <w:unhideWhenUsed/>
    <w:qFormat/>
    <w:uiPriority w:val="99"/>
    <w:pPr>
      <w:jc w:val="left"/>
    </w:pPr>
  </w:style>
  <w:style w:type="paragraph" w:styleId="3">
    <w:name w:val="Body Text Indent"/>
    <w:basedOn w:val="1"/>
    <w:qFormat/>
    <w:uiPriority w:val="0"/>
    <w:pPr>
      <w:spacing w:after="120"/>
      <w:ind w:left="420" w:leftChars="200"/>
    </w:pPr>
    <w:rPr>
      <w:rFonts w:ascii="Calibri" w:hAnsi="Calibri"/>
    </w:rPr>
  </w:style>
  <w:style w:type="paragraph" w:styleId="4">
    <w:name w:val="Balloon Text"/>
    <w:basedOn w:val="1"/>
    <w:link w:val="21"/>
    <w:semiHidden/>
    <w:unhideWhenUsed/>
    <w:qFormat/>
    <w:uiPriority w:val="99"/>
    <w:rPr>
      <w:sz w:val="18"/>
      <w:szCs w:val="18"/>
    </w:rPr>
  </w:style>
  <w:style w:type="paragraph" w:styleId="5">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6">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7">
    <w:name w:val="annotation subject"/>
    <w:basedOn w:val="2"/>
    <w:next w:val="2"/>
    <w:link w:val="19"/>
    <w:semiHidden/>
    <w:unhideWhenUsed/>
    <w:qFormat/>
    <w:uiPriority w:val="99"/>
    <w:rPr>
      <w:b/>
      <w:bCs/>
    </w:rPr>
  </w:style>
  <w:style w:type="paragraph" w:styleId="8">
    <w:name w:val="Body Text First Indent 2"/>
    <w:basedOn w:val="3"/>
    <w:qFormat/>
    <w:uiPriority w:val="0"/>
    <w:pPr>
      <w:ind w:firstLine="420" w:firstLineChars="200"/>
    </w:pPr>
  </w:style>
  <w:style w:type="table" w:styleId="10">
    <w:name w:val="Table Grid"/>
    <w:basedOn w:val="9"/>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Strong"/>
    <w:basedOn w:val="11"/>
    <w:qFormat/>
    <w:uiPriority w:val="0"/>
    <w:rPr>
      <w:b/>
      <w:bCs/>
    </w:rPr>
  </w:style>
  <w:style w:type="character" w:styleId="13">
    <w:name w:val="Hyperlink"/>
    <w:basedOn w:val="11"/>
    <w:unhideWhenUsed/>
    <w:qFormat/>
    <w:uiPriority w:val="99"/>
    <w:rPr>
      <w:color w:val="0000FF" w:themeColor="hyperlink"/>
      <w:u w:val="single"/>
    </w:rPr>
  </w:style>
  <w:style w:type="character" w:styleId="14">
    <w:name w:val="annotation reference"/>
    <w:basedOn w:val="11"/>
    <w:semiHidden/>
    <w:unhideWhenUsed/>
    <w:qFormat/>
    <w:uiPriority w:val="99"/>
    <w:rPr>
      <w:sz w:val="21"/>
      <w:szCs w:val="21"/>
    </w:rPr>
  </w:style>
  <w:style w:type="character" w:customStyle="1" w:styleId="15">
    <w:name w:val="页眉 字符"/>
    <w:basedOn w:val="11"/>
    <w:link w:val="6"/>
    <w:qFormat/>
    <w:uiPriority w:val="99"/>
    <w:rPr>
      <w:sz w:val="18"/>
      <w:szCs w:val="18"/>
    </w:rPr>
  </w:style>
  <w:style w:type="character" w:customStyle="1" w:styleId="16">
    <w:name w:val="页脚 字符"/>
    <w:basedOn w:val="11"/>
    <w:link w:val="5"/>
    <w:qFormat/>
    <w:uiPriority w:val="99"/>
    <w:rPr>
      <w:sz w:val="18"/>
      <w:szCs w:val="18"/>
    </w:rPr>
  </w:style>
  <w:style w:type="character" w:customStyle="1" w:styleId="17">
    <w:name w:val="未处理的提及1"/>
    <w:basedOn w:val="11"/>
    <w:semiHidden/>
    <w:unhideWhenUsed/>
    <w:qFormat/>
    <w:uiPriority w:val="99"/>
    <w:rPr>
      <w:color w:val="605E5C"/>
      <w:shd w:val="clear" w:color="auto" w:fill="E1DFDD"/>
    </w:rPr>
  </w:style>
  <w:style w:type="character" w:customStyle="1" w:styleId="18">
    <w:name w:val="批注文字 字符"/>
    <w:basedOn w:val="11"/>
    <w:link w:val="2"/>
    <w:semiHidden/>
    <w:qFormat/>
    <w:uiPriority w:val="99"/>
    <w:rPr>
      <w:rFonts w:ascii="Times New Roman" w:hAnsi="Times New Roman" w:eastAsia="宋体" w:cs="Times New Roman"/>
      <w:kern w:val="2"/>
      <w:sz w:val="21"/>
      <w:szCs w:val="24"/>
    </w:rPr>
  </w:style>
  <w:style w:type="character" w:customStyle="1" w:styleId="19">
    <w:name w:val="批注主题 字符"/>
    <w:basedOn w:val="18"/>
    <w:link w:val="7"/>
    <w:semiHidden/>
    <w:qFormat/>
    <w:uiPriority w:val="99"/>
    <w:rPr>
      <w:rFonts w:ascii="Times New Roman" w:hAnsi="Times New Roman" w:eastAsia="宋体" w:cs="Times New Roman"/>
      <w:b/>
      <w:bCs/>
      <w:kern w:val="2"/>
      <w:sz w:val="21"/>
      <w:szCs w:val="24"/>
    </w:rPr>
  </w:style>
  <w:style w:type="paragraph" w:customStyle="1" w:styleId="20">
    <w:name w:val="修订1"/>
    <w:hidden/>
    <w:semiHidden/>
    <w:qFormat/>
    <w:uiPriority w:val="99"/>
    <w:rPr>
      <w:rFonts w:ascii="Times New Roman" w:hAnsi="Times New Roman" w:eastAsia="宋体" w:cs="Times New Roman"/>
      <w:kern w:val="2"/>
      <w:sz w:val="21"/>
      <w:szCs w:val="24"/>
      <w:lang w:val="en-US" w:eastAsia="zh-CN" w:bidi="ar-SA"/>
    </w:rPr>
  </w:style>
  <w:style w:type="character" w:customStyle="1" w:styleId="21">
    <w:name w:val="批注框文本 字符"/>
    <w:basedOn w:val="11"/>
    <w:link w:val="4"/>
    <w:semiHidden/>
    <w:qFormat/>
    <w:uiPriority w:val="99"/>
    <w:rPr>
      <w:rFonts w:ascii="Times New Roman" w:hAnsi="Times New Roman" w:eastAsia="宋体" w:cs="Times New Roman"/>
      <w:kern w:val="2"/>
      <w:sz w:val="18"/>
      <w:szCs w:val="18"/>
    </w:rPr>
  </w:style>
  <w:style w:type="paragraph" w:styleId="22">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Pages>
  <Words>2334</Words>
  <Characters>2450</Characters>
  <Lines>13</Lines>
  <Paragraphs>3</Paragraphs>
  <TotalTime>30</TotalTime>
  <ScaleCrop>false</ScaleCrop>
  <LinksUpToDate>false</LinksUpToDate>
  <CharactersWithSpaces>2600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2020-04-14T04:01:00Z</dcterms:created>
  <dc:creator>yb</dc:creator>
  <cp:lastModifiedBy>峰回路转</cp:lastModifiedBy>
  <cp:lastPrinted>2022-10-31T01:14:00Z</cp:lastPrinted>
  <dcterms:modified xsi:type="dcterms:W3CDTF">2025-11-13T03:55:53Z</dcterms:modified>
  <cp:revision>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AFFC1AAB90EE43CFB18F35A5401A517B</vt:lpwstr>
  </property>
  <property fmtid="{D5CDD505-2E9C-101B-9397-08002B2CF9AE}" pid="4" name="KSOTemplateDocerSaveRecord">
    <vt:lpwstr>eyJoZGlkIjoiMzhkMTZjNTY3MTM3YjJiOGVmYjA0YzZkOTA1OGUyN2QiLCJ1c2VySWQiOiIzNDg1NjYwODQifQ==</vt:lpwstr>
  </property>
</Properties>
</file>