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E24891">
      <w:pPr>
        <w:adjustRightInd w:val="0"/>
        <w:snapToGrid w:val="0"/>
        <w:spacing w:line="300" w:lineRule="auto"/>
        <w:ind w:left="420" w:leftChars="200"/>
        <w:jc w:val="center"/>
      </w:pPr>
      <w:r>
        <w:rPr>
          <w:rFonts w:hint="eastAsia" w:eastAsia="黑体"/>
          <w:b/>
          <w:sz w:val="48"/>
          <w:lang w:val="en-US" w:eastAsia="zh-CN"/>
        </w:rPr>
        <w:t>晚</w:t>
      </w:r>
      <w:r>
        <w:rPr>
          <w:rFonts w:hint="eastAsia" w:eastAsia="黑体"/>
          <w:b/>
          <w:sz w:val="48"/>
        </w:rPr>
        <w:t xml:space="preserve"> 籼 稻 谷 采 购 协 议</w:t>
      </w:r>
    </w:p>
    <w:p w14:paraId="7DC2FD85">
      <w:pPr>
        <w:adjustRightInd w:val="0"/>
        <w:snapToGrid w:val="0"/>
        <w:spacing w:line="300" w:lineRule="auto"/>
        <w:ind w:left="420" w:leftChars="200"/>
        <w:jc w:val="right"/>
        <w:rPr>
          <w:rFonts w:hint="default" w:eastAsia="宋体"/>
          <w:lang w:val="en-US" w:eastAsia="zh-CN"/>
        </w:rPr>
      </w:pPr>
      <w:r>
        <w:rPr>
          <w:rFonts w:hint="eastAsia"/>
        </w:rPr>
        <w:t>合同号：浦粮储购</w:t>
      </w:r>
      <w:r>
        <w:rPr>
          <w:rFonts w:hint="eastAsia"/>
          <w:lang w:eastAsia="zh-CN"/>
        </w:rPr>
        <w:t>2025</w:t>
      </w:r>
      <w:r>
        <w:rPr>
          <w:rFonts w:hint="eastAsia"/>
        </w:rPr>
        <w:t>-</w:t>
      </w:r>
      <w:r>
        <w:rPr>
          <w:rFonts w:hint="eastAsia"/>
          <w:lang w:val="en-US" w:eastAsia="zh-CN"/>
        </w:rPr>
        <w:t>0*</w:t>
      </w:r>
    </w:p>
    <w:p w14:paraId="555A65DF">
      <w:pPr>
        <w:adjustRightInd w:val="0"/>
        <w:snapToGrid w:val="0"/>
        <w:spacing w:line="300" w:lineRule="auto"/>
        <w:ind w:left="420" w:leftChars="200"/>
        <w:jc w:val="right"/>
        <w:rPr>
          <w:b/>
          <w:sz w:val="30"/>
        </w:rPr>
      </w:pPr>
    </w:p>
    <w:p w14:paraId="06F02A16">
      <w:pPr>
        <w:adjustRightInd w:val="0"/>
        <w:snapToGrid w:val="0"/>
        <w:spacing w:line="300" w:lineRule="auto"/>
        <w:ind w:firstLine="482" w:firstLineChars="200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b/>
          <w:bCs/>
          <w:kern w:val="0"/>
          <w:sz w:val="24"/>
        </w:rPr>
        <w:t>甲  方：浦江县粮食收储有限公司</w:t>
      </w:r>
    </w:p>
    <w:p w14:paraId="4364D731">
      <w:pPr>
        <w:adjustRightInd w:val="0"/>
        <w:snapToGrid w:val="0"/>
        <w:spacing w:line="300" w:lineRule="auto"/>
        <w:ind w:left="420" w:leftChars="200"/>
        <w:rPr>
          <w:rFonts w:hint="default" w:ascii="宋体" w:hAnsi="宋体"/>
          <w:b/>
          <w:bCs/>
          <w:kern w:val="0"/>
          <w:sz w:val="24"/>
          <w:lang w:val="en-US"/>
        </w:rPr>
      </w:pPr>
      <w:r>
        <w:rPr>
          <w:rFonts w:hint="eastAsia" w:ascii="宋体" w:hAnsi="宋体"/>
          <w:b/>
          <w:bCs/>
          <w:kern w:val="0"/>
          <w:sz w:val="24"/>
        </w:rPr>
        <w:t>乙  方:</w:t>
      </w:r>
      <w:r>
        <w:rPr>
          <w:rFonts w:hint="eastAsia"/>
          <w:b/>
          <w:sz w:val="24"/>
        </w:rPr>
        <w:t xml:space="preserve"> </w:t>
      </w:r>
      <w:r>
        <w:rPr>
          <w:rFonts w:hint="eastAsia"/>
          <w:b/>
          <w:sz w:val="24"/>
          <w:lang w:val="en-US" w:eastAsia="zh-CN"/>
        </w:rPr>
        <w:t>***</w:t>
      </w:r>
    </w:p>
    <w:p w14:paraId="2F511CF7">
      <w:pPr>
        <w:adjustRightInd w:val="0"/>
        <w:snapToGrid w:val="0"/>
        <w:spacing w:line="300" w:lineRule="auto"/>
        <w:ind w:left="420" w:leftChars="200"/>
        <w:rPr>
          <w:rFonts w:ascii="宋体" w:hAnsi="宋体"/>
          <w:b/>
          <w:bCs/>
          <w:kern w:val="0"/>
          <w:sz w:val="24"/>
        </w:rPr>
      </w:pPr>
    </w:p>
    <w:p w14:paraId="56FC9C17">
      <w:pPr>
        <w:adjustRightInd w:val="0"/>
        <w:snapToGrid w:val="0"/>
        <w:spacing w:line="300" w:lineRule="auto"/>
        <w:ind w:left="420" w:leftChars="200" w:firstLine="463" w:firstLineChars="192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b/>
          <w:bCs/>
          <w:kern w:val="0"/>
          <w:sz w:val="24"/>
        </w:rPr>
        <w:t>根据</w:t>
      </w:r>
      <w:r>
        <w:rPr>
          <w:rFonts w:hint="eastAsia" w:ascii="宋体" w:hAnsi="宋体"/>
          <w:b/>
          <w:bCs/>
          <w:kern w:val="0"/>
          <w:sz w:val="24"/>
          <w:lang w:eastAsia="zh-CN"/>
        </w:rPr>
        <w:t>2025</w:t>
      </w:r>
      <w:r>
        <w:rPr>
          <w:rFonts w:hint="eastAsia" w:ascii="宋体" w:hAnsi="宋体"/>
          <w:b/>
          <w:bCs/>
          <w:kern w:val="0"/>
          <w:sz w:val="24"/>
        </w:rPr>
        <w:t>年</w:t>
      </w:r>
      <w:r>
        <w:rPr>
          <w:rFonts w:hint="eastAsia" w:ascii="宋体" w:hAnsi="宋体"/>
          <w:b/>
          <w:bCs/>
          <w:kern w:val="0"/>
          <w:sz w:val="24"/>
          <w:lang w:val="en-US" w:eastAsia="zh-CN"/>
        </w:rPr>
        <w:t>11</w:t>
      </w:r>
      <w:r>
        <w:rPr>
          <w:rFonts w:hint="eastAsia" w:ascii="宋体" w:hAnsi="宋体"/>
          <w:b/>
          <w:bCs/>
          <w:kern w:val="0"/>
          <w:sz w:val="24"/>
        </w:rPr>
        <w:t>月</w:t>
      </w:r>
      <w:r>
        <w:rPr>
          <w:rFonts w:hint="eastAsia" w:ascii="宋体" w:hAnsi="宋体"/>
          <w:b/>
          <w:bCs/>
          <w:kern w:val="0"/>
          <w:sz w:val="24"/>
          <w:lang w:val="en-US" w:eastAsia="zh-CN"/>
        </w:rPr>
        <w:t>18</w:t>
      </w:r>
      <w:r>
        <w:rPr>
          <w:rFonts w:hint="eastAsia" w:ascii="宋体" w:hAnsi="宋体"/>
          <w:b/>
          <w:bCs/>
          <w:kern w:val="0"/>
          <w:sz w:val="24"/>
        </w:rPr>
        <w:t>日国粮浙交</w:t>
      </w:r>
      <w:r>
        <w:rPr>
          <w:rFonts w:hint="eastAsia" w:ascii="宋体" w:hAnsi="宋体"/>
          <w:b/>
          <w:bCs/>
          <w:kern w:val="0"/>
          <w:sz w:val="24"/>
          <w:lang w:eastAsia="zh-CN"/>
        </w:rPr>
        <w:t>2025</w:t>
      </w:r>
      <w:r>
        <w:rPr>
          <w:rFonts w:hint="eastAsia" w:ascii="宋体" w:hAnsi="宋体"/>
          <w:b/>
          <w:bCs/>
          <w:kern w:val="0"/>
          <w:sz w:val="24"/>
        </w:rPr>
        <w:t>第</w:t>
      </w:r>
      <w:r>
        <w:rPr>
          <w:rFonts w:hint="eastAsia" w:ascii="宋体" w:hAnsi="宋体"/>
          <w:b/>
          <w:bCs/>
          <w:kern w:val="0"/>
          <w:sz w:val="24"/>
          <w:lang w:val="en-US" w:eastAsia="zh-CN"/>
        </w:rPr>
        <w:t>***</w:t>
      </w:r>
      <w:r>
        <w:rPr>
          <w:rFonts w:hint="eastAsia" w:ascii="宋体" w:hAnsi="宋体"/>
          <w:b/>
          <w:bCs/>
          <w:kern w:val="0"/>
          <w:sz w:val="24"/>
        </w:rPr>
        <w:t>号竞价交易公告、交易细则和交易会中标通知书，甲乙双方就</w:t>
      </w:r>
      <w:r>
        <w:rPr>
          <w:rFonts w:hint="eastAsia" w:ascii="宋体" w:hAnsi="宋体"/>
          <w:b/>
          <w:bCs/>
          <w:kern w:val="0"/>
          <w:sz w:val="24"/>
          <w:lang w:val="en-US" w:eastAsia="zh-CN"/>
        </w:rPr>
        <w:t>晚</w:t>
      </w:r>
      <w:r>
        <w:rPr>
          <w:rFonts w:hint="eastAsia" w:ascii="宋体" w:hAnsi="宋体"/>
          <w:b/>
          <w:bCs/>
          <w:kern w:val="0"/>
          <w:sz w:val="24"/>
        </w:rPr>
        <w:t xml:space="preserve">籼稻谷采购事宜，达成如下协议：  </w:t>
      </w:r>
    </w:p>
    <w:p w14:paraId="56030367">
      <w:pPr>
        <w:numPr>
          <w:ilvl w:val="0"/>
          <w:numId w:val="1"/>
        </w:numPr>
        <w:tabs>
          <w:tab w:val="left" w:pos="420"/>
        </w:tabs>
        <w:spacing w:line="360" w:lineRule="auto"/>
        <w:ind w:left="420" w:leftChars="200" w:firstLine="0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b/>
          <w:bCs/>
          <w:kern w:val="0"/>
          <w:sz w:val="24"/>
        </w:rPr>
        <w:t>品种、数量：</w:t>
      </w:r>
    </w:p>
    <w:p w14:paraId="33FE148C">
      <w:pPr>
        <w:spacing w:line="360" w:lineRule="auto"/>
        <w:ind w:left="420" w:leftChars="200" w:firstLine="590" w:firstLineChars="245"/>
        <w:rPr>
          <w:rFonts w:ascii="宋体" w:hAnsi="宋体"/>
          <w:bCs/>
          <w:kern w:val="0"/>
          <w:sz w:val="24"/>
          <w:u w:val="single"/>
        </w:rPr>
      </w:pPr>
      <w:r>
        <w:rPr>
          <w:rFonts w:hint="eastAsia" w:ascii="宋体" w:hAnsi="宋体"/>
          <w:b/>
          <w:bCs/>
          <w:kern w:val="0"/>
          <w:sz w:val="24"/>
        </w:rPr>
        <w:t xml:space="preserve"> </w:t>
      </w:r>
      <w:r>
        <w:rPr>
          <w:rFonts w:hint="eastAsia" w:ascii="宋体" w:hAnsi="宋体"/>
          <w:sz w:val="24"/>
          <w:lang w:eastAsia="zh-CN"/>
        </w:rPr>
        <w:t>2025</w:t>
      </w:r>
      <w:r>
        <w:rPr>
          <w:rFonts w:hint="eastAsia" w:ascii="宋体" w:hAnsi="宋体"/>
          <w:sz w:val="24"/>
        </w:rPr>
        <w:t>年</w:t>
      </w:r>
      <w:r>
        <w:rPr>
          <w:rFonts w:hint="eastAsia" w:ascii="宋体" w:hAnsi="宋体" w:cs="宋体"/>
          <w:color w:val="000000"/>
          <w:kern w:val="0"/>
          <w:sz w:val="22"/>
          <w:szCs w:val="22"/>
        </w:rPr>
        <w:t>浙江、安徽</w:t>
      </w:r>
      <w:r>
        <w:rPr>
          <w:rFonts w:hint="eastAsia" w:ascii="宋体" w:hAnsi="宋体" w:cs="宋体"/>
          <w:color w:val="000000"/>
          <w:kern w:val="0"/>
          <w:sz w:val="22"/>
          <w:szCs w:val="22"/>
          <w:lang w:eastAsia="zh-CN"/>
        </w:rPr>
        <w:t>、</w:t>
      </w:r>
      <w:r>
        <w:rPr>
          <w:rFonts w:hint="eastAsia" w:ascii="宋体" w:hAnsi="宋体" w:cs="宋体"/>
          <w:color w:val="000000"/>
          <w:kern w:val="0"/>
          <w:sz w:val="22"/>
          <w:szCs w:val="22"/>
        </w:rPr>
        <w:t>江西</w:t>
      </w:r>
      <w:r>
        <w:rPr>
          <w:rFonts w:hint="eastAsia" w:ascii="宋体" w:hAnsi="宋体" w:cs="宋体"/>
          <w:color w:val="000000"/>
          <w:kern w:val="0"/>
          <w:sz w:val="22"/>
          <w:szCs w:val="22"/>
          <w:lang w:val="en-US" w:eastAsia="zh-CN"/>
        </w:rPr>
        <w:t>或江苏</w:t>
      </w:r>
      <w:r>
        <w:rPr>
          <w:rFonts w:hint="eastAsia" w:ascii="宋体" w:hAnsi="宋体"/>
          <w:sz w:val="24"/>
        </w:rPr>
        <w:t>产</w:t>
      </w:r>
      <w:r>
        <w:rPr>
          <w:rFonts w:hint="eastAsia" w:ascii="宋体" w:hAnsi="宋体" w:cs="宋体"/>
          <w:color w:val="000000"/>
          <w:kern w:val="0"/>
          <w:sz w:val="22"/>
          <w:szCs w:val="22"/>
          <w:lang w:val="en-US" w:eastAsia="zh-CN"/>
        </w:rPr>
        <w:t>晚</w:t>
      </w:r>
      <w:r>
        <w:rPr>
          <w:rFonts w:hint="eastAsia" w:ascii="宋体" w:hAnsi="宋体" w:cs="宋体"/>
          <w:color w:val="000000"/>
          <w:kern w:val="0"/>
          <w:sz w:val="22"/>
          <w:szCs w:val="22"/>
        </w:rPr>
        <w:t>籼稻谷</w:t>
      </w:r>
      <w:r>
        <w:rPr>
          <w:rFonts w:hint="eastAsia" w:ascii="宋体" w:hAnsi="宋体"/>
          <w:bCs/>
          <w:kern w:val="0"/>
          <w:sz w:val="24"/>
          <w:u w:val="single"/>
          <w:lang w:val="en-US" w:eastAsia="zh-CN"/>
        </w:rPr>
        <w:t>2060</w:t>
      </w:r>
      <w:r>
        <w:rPr>
          <w:rFonts w:hint="eastAsia" w:ascii="宋体" w:hAnsi="宋体"/>
          <w:bCs/>
          <w:kern w:val="0"/>
          <w:sz w:val="24"/>
          <w:u w:val="single"/>
        </w:rPr>
        <w:t>吨。</w:t>
      </w:r>
    </w:p>
    <w:p w14:paraId="0B15EAB6">
      <w:pPr>
        <w:widowControl/>
        <w:numPr>
          <w:ilvl w:val="0"/>
          <w:numId w:val="1"/>
        </w:numPr>
        <w:tabs>
          <w:tab w:val="left" w:pos="1140"/>
          <w:tab w:val="clear" w:pos="750"/>
        </w:tabs>
        <w:adjustRightInd w:val="0"/>
        <w:snapToGrid w:val="0"/>
        <w:spacing w:line="360" w:lineRule="auto"/>
        <w:ind w:left="1170" w:leftChars="200" w:hanging="750"/>
        <w:jc w:val="left"/>
        <w:rPr>
          <w:rFonts w:ascii="宋体" w:hAnsi="宋体" w:cs="宋体"/>
          <w:b/>
          <w:snapToGrid w:val="0"/>
          <w:kern w:val="0"/>
          <w:sz w:val="24"/>
        </w:rPr>
      </w:pPr>
      <w:r>
        <w:rPr>
          <w:rFonts w:hint="eastAsia" w:ascii="宋体" w:hAnsi="宋体"/>
          <w:b/>
          <w:bCs/>
          <w:kern w:val="0"/>
          <w:sz w:val="24"/>
        </w:rPr>
        <w:t>质量</w:t>
      </w:r>
      <w:r>
        <w:rPr>
          <w:rFonts w:hint="eastAsia" w:ascii="宋体" w:hAnsi="宋体" w:cs="宋体"/>
          <w:b/>
          <w:kern w:val="0"/>
          <w:sz w:val="24"/>
        </w:rPr>
        <w:t>要求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符合国标三等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及以上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质量标准</w:t>
      </w:r>
      <w:r>
        <w:rPr>
          <w:rFonts w:hint="eastAsia" w:ascii="宋体" w:hAnsi="宋体" w:cs="宋体"/>
          <w:b/>
          <w:bCs/>
          <w:sz w:val="24"/>
          <w:szCs w:val="24"/>
          <w:lang w:eastAsia="zh-CN"/>
        </w:rPr>
        <w:t>，具体指标：</w:t>
      </w:r>
    </w:p>
    <w:p w14:paraId="74869FC6">
      <w:pPr>
        <w:widowControl/>
        <w:adjustRightInd w:val="0"/>
        <w:snapToGrid w:val="0"/>
        <w:spacing w:line="400" w:lineRule="exact"/>
        <w:ind w:left="420" w:leftChars="200" w:firstLine="480" w:firstLineChars="200"/>
        <w:jc w:val="left"/>
        <w:rPr>
          <w:rFonts w:ascii="宋体" w:hAnsi="宋体"/>
          <w:b w:val="0"/>
          <w:bCs/>
          <w:color w:val="auto"/>
          <w:sz w:val="24"/>
        </w:rPr>
      </w:pPr>
      <w:r>
        <w:rPr>
          <w:rFonts w:hint="eastAsia" w:ascii="宋体" w:hAnsi="宋体" w:cs="宋体"/>
          <w:kern w:val="0"/>
          <w:sz w:val="24"/>
        </w:rPr>
        <w:t>（1）出糙率≥75.0%、整精米率≥44.0%、杂质≤1.0%、</w:t>
      </w:r>
      <w:r>
        <w:rPr>
          <w:rFonts w:hint="eastAsia" w:ascii="宋体" w:hAnsi="宋体" w:cs="宋体"/>
          <w:color w:val="000000"/>
          <w:kern w:val="0"/>
          <w:sz w:val="24"/>
        </w:rPr>
        <w:t>水分≤13.5%、</w:t>
      </w:r>
      <w:r>
        <w:rPr>
          <w:rFonts w:hint="eastAsia" w:ascii="宋体" w:hAnsi="宋体" w:cs="宋体"/>
          <w:kern w:val="0"/>
          <w:sz w:val="24"/>
        </w:rPr>
        <w:t>黄粒米≤1.0%、谷外糙米≤2.0%、互混≤5.0%、脂肪酸值≤</w:t>
      </w:r>
      <w:r>
        <w:rPr>
          <w:rFonts w:hint="eastAsia" w:ascii="宋体" w:hAnsi="宋体" w:cs="宋体"/>
          <w:kern w:val="0"/>
          <w:sz w:val="24"/>
          <w:lang w:val="en-US" w:eastAsia="zh-CN"/>
        </w:rPr>
        <w:t>18</w:t>
      </w:r>
      <w:r>
        <w:rPr>
          <w:rFonts w:hint="eastAsia" w:ascii="宋体" w:hAnsi="宋体" w:cs="宋体"/>
          <w:kern w:val="0"/>
          <w:sz w:val="24"/>
        </w:rPr>
        <w:t>mgKOH/100g、色泽，气味正常；泥芽谷≤4.0%、无陈粮</w:t>
      </w:r>
      <w:r>
        <w:rPr>
          <w:rFonts w:hint="eastAsia" w:ascii="宋体" w:hAnsi="宋体"/>
          <w:kern w:val="24"/>
          <w:sz w:val="24"/>
        </w:rPr>
        <w:t>（指不是</w:t>
      </w:r>
      <w:r>
        <w:rPr>
          <w:rFonts w:hint="eastAsia" w:ascii="宋体" w:hAnsi="宋体"/>
          <w:kern w:val="24"/>
          <w:sz w:val="24"/>
          <w:lang w:eastAsia="zh-CN"/>
        </w:rPr>
        <w:t>2025</w:t>
      </w:r>
      <w:r>
        <w:rPr>
          <w:rFonts w:hint="eastAsia" w:ascii="宋体" w:hAnsi="宋体"/>
          <w:kern w:val="24"/>
          <w:sz w:val="24"/>
        </w:rPr>
        <w:t>年当年收获的粮食）</w:t>
      </w:r>
      <w:r>
        <w:rPr>
          <w:rFonts w:hint="eastAsia" w:ascii="宋体" w:hAnsi="宋体" w:cs="宋体"/>
          <w:kern w:val="0"/>
          <w:sz w:val="24"/>
        </w:rPr>
        <w:t>互混、必须为基本无虫粮。严禁掺杂使假、以陈顶新。</w:t>
      </w:r>
      <w:r>
        <w:rPr>
          <w:rFonts w:hint="eastAsia" w:ascii="宋体" w:hAnsi="宋体" w:eastAsia="宋体" w:cs="宋体"/>
          <w:b w:val="0"/>
          <w:bCs/>
          <w:color w:val="auto"/>
          <w:kern w:val="0"/>
          <w:sz w:val="24"/>
          <w:szCs w:val="24"/>
        </w:rPr>
        <w:t>入库的</w:t>
      </w:r>
      <w:r>
        <w:rPr>
          <w:rFonts w:hint="eastAsia" w:ascii="宋体" w:hAnsi="宋体" w:cs="宋体"/>
          <w:b w:val="0"/>
          <w:bCs/>
          <w:color w:val="auto"/>
          <w:sz w:val="24"/>
          <w:szCs w:val="24"/>
          <w:lang w:eastAsia="zh-CN"/>
        </w:rPr>
        <w:t>晚籼稻谷</w:t>
      </w:r>
      <w:r>
        <w:rPr>
          <w:rFonts w:hint="eastAsia" w:ascii="宋体" w:hAnsi="宋体" w:eastAsia="宋体" w:cs="宋体"/>
          <w:b w:val="0"/>
          <w:bCs/>
          <w:color w:val="auto"/>
          <w:sz w:val="24"/>
          <w:szCs w:val="24"/>
        </w:rPr>
        <w:t>必须为</w:t>
      </w:r>
      <w:r>
        <w:rPr>
          <w:rFonts w:hint="eastAsia" w:ascii="宋体" w:hAnsi="宋体" w:cs="宋体"/>
          <w:b w:val="0"/>
          <w:bCs/>
          <w:color w:val="auto"/>
          <w:sz w:val="24"/>
          <w:szCs w:val="24"/>
          <w:lang w:eastAsia="zh-CN"/>
        </w:rPr>
        <w:t>同一</w:t>
      </w:r>
      <w:r>
        <w:rPr>
          <w:rFonts w:hint="eastAsia" w:ascii="宋体" w:hAnsi="宋体" w:eastAsia="宋体" w:cs="宋体"/>
          <w:b w:val="0"/>
          <w:bCs/>
          <w:color w:val="auto"/>
          <w:sz w:val="24"/>
          <w:szCs w:val="24"/>
        </w:rPr>
        <w:t>粒型。</w:t>
      </w:r>
    </w:p>
    <w:p w14:paraId="56BCCDF6">
      <w:pPr>
        <w:widowControl/>
        <w:adjustRightInd w:val="0"/>
        <w:snapToGrid w:val="0"/>
        <w:spacing w:line="400" w:lineRule="exact"/>
        <w:ind w:left="420" w:leftChars="200" w:firstLine="480" w:firstLineChars="20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 w:cs="宋体"/>
          <w:color w:val="000000"/>
          <w:kern w:val="0"/>
          <w:sz w:val="24"/>
        </w:rPr>
        <w:t>（2）要求符合</w:t>
      </w:r>
      <w:r>
        <w:rPr>
          <w:rFonts w:hint="eastAsia" w:ascii="宋体" w:hAnsi="宋体" w:cs="宋体"/>
          <w:kern w:val="0"/>
          <w:sz w:val="24"/>
        </w:rPr>
        <w:t>食品安全指标符合《食品安全国家标准-粮食》（GB2715-2016）及行业有关规定</w:t>
      </w:r>
      <w:r>
        <w:rPr>
          <w:rFonts w:hint="eastAsia" w:ascii="宋体" w:hAnsi="宋体"/>
          <w:sz w:val="24"/>
        </w:rPr>
        <w:t>，其中：毒死蜱≤0.5mg/kg,乐果≤0.05 mg/kg,三唑磷≤0.05mg/kg,马拉硫磷≤8mg/kg，水胺硫磷≤0.1mg/kg,铅（以Pb计）≤0.2 mg/kg,镉（以Cd计）≤0.2 mg/kg,</w:t>
      </w:r>
      <w:r>
        <w:rPr>
          <w:rFonts w:hint="eastAsia" w:ascii="宋体" w:hAnsi="宋体"/>
          <w:sz w:val="24"/>
          <w:lang w:val="en-US" w:eastAsia="zh-CN"/>
        </w:rPr>
        <w:t>总</w:t>
      </w:r>
      <w:r>
        <w:rPr>
          <w:rFonts w:hint="eastAsia" w:ascii="宋体" w:hAnsi="宋体"/>
          <w:sz w:val="24"/>
        </w:rPr>
        <w:t>汞（以Hg计）≤0.02 mg/kg,无机砷≤0.</w:t>
      </w:r>
      <w:r>
        <w:rPr>
          <w:rFonts w:hint="eastAsia" w:ascii="宋体" w:hAnsi="宋体"/>
          <w:sz w:val="24"/>
          <w:lang w:val="en-US" w:eastAsia="zh-CN"/>
        </w:rPr>
        <w:t>35</w:t>
      </w:r>
      <w:r>
        <w:rPr>
          <w:rFonts w:hint="eastAsia" w:ascii="宋体" w:hAnsi="宋体"/>
          <w:sz w:val="24"/>
        </w:rPr>
        <w:t xml:space="preserve"> mg/kg，黄曲霉毒素≤10ug/kg。</w:t>
      </w:r>
    </w:p>
    <w:p w14:paraId="6F6B04CE">
      <w:pPr>
        <w:widowControl/>
        <w:adjustRightInd w:val="0"/>
        <w:snapToGrid w:val="0"/>
        <w:spacing w:line="360" w:lineRule="auto"/>
        <w:ind w:left="420" w:leftChars="200" w:firstLine="480" w:firstLineChars="200"/>
        <w:jc w:val="left"/>
        <w:rPr>
          <w:rFonts w:ascii="宋体" w:hAnsi="宋体" w:cs="宋体"/>
          <w:snapToGrid w:val="0"/>
          <w:color w:val="000000"/>
          <w:kern w:val="0"/>
          <w:sz w:val="24"/>
        </w:rPr>
      </w:pPr>
      <w:r>
        <w:rPr>
          <w:rFonts w:hint="eastAsia" w:ascii="宋体" w:hAnsi="宋体" w:cs="宋体"/>
          <w:snapToGrid w:val="0"/>
          <w:kern w:val="0"/>
          <w:sz w:val="24"/>
        </w:rPr>
        <w:t>（3）乙方在发货前需提供具有CMA认证资质的粮油质量检测机构出具的有效的检验报告（本批次</w:t>
      </w:r>
      <w:r>
        <w:rPr>
          <w:rFonts w:hint="eastAsia" w:ascii="宋体" w:hAnsi="宋体" w:cs="宋体"/>
          <w:snapToGrid w:val="0"/>
          <w:kern w:val="0"/>
          <w:sz w:val="24"/>
          <w:lang w:eastAsia="zh-CN"/>
        </w:rPr>
        <w:t>晚籼稻谷</w:t>
      </w:r>
      <w:r>
        <w:rPr>
          <w:rFonts w:hint="eastAsia" w:ascii="宋体" w:hAnsi="宋体" w:cs="宋体"/>
          <w:snapToGrid w:val="0"/>
          <w:kern w:val="0"/>
          <w:sz w:val="24"/>
        </w:rPr>
        <w:t>质量、储存品质及卫生指标）。最终以甲方接收完毕后抽取总样送至具有CMA认证资质的粮油质量检测机构检验为准。如具有CMA认证资质的粮油质量检测机构满仓鉴定检验</w:t>
      </w:r>
      <w:r>
        <w:rPr>
          <w:rFonts w:hint="eastAsia" w:ascii="宋体" w:hAnsi="宋体" w:cs="宋体"/>
          <w:snapToGrid w:val="0"/>
          <w:color w:val="000000"/>
          <w:kern w:val="0"/>
          <w:sz w:val="24"/>
        </w:rPr>
        <w:t>质量、卫生指标未达要求的，或有</w:t>
      </w:r>
      <w:r>
        <w:rPr>
          <w:rFonts w:hint="eastAsia" w:ascii="宋体" w:hAnsi="宋体" w:cs="宋体"/>
          <w:color w:val="000000"/>
          <w:kern w:val="0"/>
          <w:sz w:val="24"/>
        </w:rPr>
        <w:t>陈粮互混的</w:t>
      </w:r>
      <w:r>
        <w:rPr>
          <w:rFonts w:hint="eastAsia" w:ascii="宋体" w:hAnsi="宋体" w:cs="宋体"/>
          <w:snapToGrid w:val="0"/>
          <w:color w:val="000000"/>
          <w:kern w:val="0"/>
          <w:sz w:val="24"/>
        </w:rPr>
        <w:t>由乙方自行在</w:t>
      </w:r>
      <w:r>
        <w:rPr>
          <w:rFonts w:hint="eastAsia" w:ascii="宋体" w:hAnsi="宋体" w:cs="宋体"/>
          <w:snapToGrid w:val="0"/>
          <w:color w:val="000000"/>
          <w:kern w:val="0"/>
          <w:sz w:val="24"/>
          <w:lang w:eastAsia="zh-CN"/>
        </w:rPr>
        <w:t>2025</w:t>
      </w:r>
      <w:r>
        <w:rPr>
          <w:rFonts w:hint="eastAsia" w:ascii="宋体" w:hAnsi="宋体" w:cs="宋体"/>
          <w:snapToGrid w:val="0"/>
          <w:color w:val="000000"/>
          <w:kern w:val="0"/>
          <w:sz w:val="24"/>
        </w:rPr>
        <w:t>年1</w:t>
      </w:r>
      <w:r>
        <w:rPr>
          <w:rFonts w:hint="eastAsia" w:ascii="宋体" w:hAnsi="宋体" w:cs="宋体"/>
          <w:snapToGrid w:val="0"/>
          <w:color w:val="000000"/>
          <w:kern w:val="0"/>
          <w:sz w:val="24"/>
          <w:lang w:val="en-US" w:eastAsia="zh-CN"/>
        </w:rPr>
        <w:t>2</w:t>
      </w:r>
      <w:r>
        <w:rPr>
          <w:rFonts w:hint="eastAsia" w:ascii="宋体" w:hAnsi="宋体" w:cs="宋体"/>
          <w:snapToGrid w:val="0"/>
          <w:color w:val="000000"/>
          <w:kern w:val="0"/>
          <w:sz w:val="24"/>
        </w:rPr>
        <w:t>月</w:t>
      </w:r>
      <w:r>
        <w:rPr>
          <w:rFonts w:hint="eastAsia" w:ascii="宋体" w:hAnsi="宋体" w:cs="宋体"/>
          <w:snapToGrid w:val="0"/>
          <w:color w:val="000000"/>
          <w:kern w:val="0"/>
          <w:sz w:val="24"/>
          <w:lang w:val="en-US" w:eastAsia="zh-CN"/>
        </w:rPr>
        <w:t>25</w:t>
      </w:r>
      <w:r>
        <w:rPr>
          <w:rFonts w:hint="eastAsia" w:ascii="宋体" w:hAnsi="宋体" w:cs="宋体"/>
          <w:snapToGrid w:val="0"/>
          <w:color w:val="000000"/>
          <w:kern w:val="0"/>
          <w:sz w:val="24"/>
        </w:rPr>
        <w:t>日前调换成符合本交割细则质量要求的</w:t>
      </w:r>
      <w:r>
        <w:rPr>
          <w:rFonts w:hint="eastAsia" w:ascii="宋体" w:hAnsi="宋体" w:cs="宋体"/>
          <w:snapToGrid w:val="0"/>
          <w:color w:val="000000"/>
          <w:kern w:val="0"/>
          <w:sz w:val="24"/>
          <w:lang w:eastAsia="zh-CN"/>
        </w:rPr>
        <w:t>晚籼稻谷</w:t>
      </w:r>
      <w:r>
        <w:rPr>
          <w:rFonts w:hint="eastAsia" w:ascii="宋体" w:hAnsi="宋体" w:cs="宋体"/>
          <w:snapToGrid w:val="0"/>
          <w:color w:val="000000"/>
          <w:kern w:val="0"/>
          <w:sz w:val="24"/>
        </w:rPr>
        <w:t>，由此产生的一切损失由乙方承担。</w:t>
      </w:r>
    </w:p>
    <w:p w14:paraId="0D117E4A">
      <w:pPr>
        <w:widowControl/>
        <w:adjustRightInd w:val="0"/>
        <w:snapToGrid w:val="0"/>
        <w:spacing w:line="360" w:lineRule="auto"/>
        <w:ind w:left="420" w:leftChars="200" w:firstLine="480" w:firstLineChars="200"/>
        <w:jc w:val="left"/>
        <w:rPr>
          <w:rFonts w:ascii="宋体" w:hAnsi="宋体" w:cs="宋体"/>
          <w:snapToGrid w:val="0"/>
          <w:kern w:val="0"/>
          <w:sz w:val="24"/>
        </w:rPr>
      </w:pPr>
      <w:r>
        <w:rPr>
          <w:rFonts w:hint="eastAsia" w:ascii="宋体" w:hAnsi="宋体" w:cs="宋体"/>
          <w:snapToGrid w:val="0"/>
          <w:kern w:val="0"/>
          <w:sz w:val="24"/>
        </w:rPr>
        <w:t>（4）本合同接收的粮食质量将严格按</w:t>
      </w:r>
      <w:r>
        <w:rPr>
          <w:rFonts w:hint="eastAsia" w:ascii="宋体" w:hAnsi="宋体" w:cs="宋体"/>
          <w:snapToGrid w:val="0"/>
          <w:kern w:val="0"/>
          <w:sz w:val="24"/>
          <w:lang w:eastAsia="zh-CN"/>
        </w:rPr>
        <w:t>上述</w:t>
      </w:r>
      <w:r>
        <w:rPr>
          <w:rFonts w:hint="eastAsia" w:ascii="宋体" w:hAnsi="宋体" w:cs="宋体"/>
          <w:snapToGrid w:val="0"/>
          <w:kern w:val="0"/>
          <w:sz w:val="24"/>
        </w:rPr>
        <w:t>质量要求执行，若其中有一项标准达不到要求的，则判定为不合格，并作换货处理。</w:t>
      </w:r>
    </w:p>
    <w:p w14:paraId="1E8AE69E">
      <w:pPr>
        <w:widowControl/>
        <w:adjustRightInd w:val="0"/>
        <w:snapToGrid w:val="0"/>
        <w:spacing w:line="360" w:lineRule="auto"/>
        <w:ind w:left="420" w:leftChars="200"/>
        <w:jc w:val="left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b/>
          <w:bCs/>
          <w:kern w:val="0"/>
          <w:sz w:val="24"/>
        </w:rPr>
        <w:t>三、  价格</w:t>
      </w:r>
      <w:r>
        <w:rPr>
          <w:rFonts w:hint="eastAsia" w:ascii="宋体" w:hAnsi="宋体"/>
          <w:b/>
          <w:bCs/>
          <w:kern w:val="0"/>
          <w:sz w:val="24"/>
          <w:lang w:eastAsia="zh-CN"/>
        </w:rPr>
        <w:t>及</w:t>
      </w:r>
      <w:r>
        <w:rPr>
          <w:rFonts w:hint="eastAsia" w:ascii="宋体" w:hAnsi="宋体" w:cs="宋体"/>
          <w:b/>
          <w:bCs/>
          <w:snapToGrid w:val="0"/>
          <w:kern w:val="0"/>
          <w:sz w:val="24"/>
        </w:rPr>
        <w:t>费用</w:t>
      </w:r>
      <w:r>
        <w:rPr>
          <w:rFonts w:hint="eastAsia" w:ascii="宋体" w:hAnsi="宋体"/>
          <w:b/>
          <w:bCs/>
          <w:kern w:val="0"/>
          <w:sz w:val="24"/>
        </w:rPr>
        <w:t>：</w:t>
      </w:r>
    </w:p>
    <w:p w14:paraId="672C8B50">
      <w:pPr>
        <w:spacing w:line="400" w:lineRule="exact"/>
        <w:ind w:left="479" w:leftChars="228" w:firstLine="480" w:firstLineChars="200"/>
        <w:rPr>
          <w:rFonts w:ascii="宋体" w:hAnsi="宋体"/>
          <w:bCs/>
          <w:kern w:val="0"/>
          <w:sz w:val="24"/>
        </w:rPr>
      </w:pPr>
      <w:r>
        <w:rPr>
          <w:rFonts w:hint="eastAsia" w:ascii="宋体" w:hAnsi="宋体"/>
          <w:bCs/>
          <w:kern w:val="0"/>
          <w:sz w:val="24"/>
        </w:rPr>
        <w:t>到甲方</w:t>
      </w:r>
      <w:r>
        <w:rPr>
          <w:rFonts w:hint="eastAsia" w:ascii="宋体" w:hAnsi="宋体" w:cs="宋体"/>
          <w:kern w:val="0"/>
          <w:sz w:val="24"/>
          <w:lang w:val="en-US" w:eastAsia="zh-CN"/>
        </w:rPr>
        <w:t>中心粮库P18号</w:t>
      </w:r>
      <w:r>
        <w:rPr>
          <w:rFonts w:hint="eastAsia" w:ascii="宋体" w:hAnsi="宋体" w:cs="宋体"/>
          <w:kern w:val="0"/>
          <w:sz w:val="24"/>
        </w:rPr>
        <w:t>仓库价格</w:t>
      </w:r>
      <w:r>
        <w:rPr>
          <w:rFonts w:hint="eastAsia" w:ascii="宋体" w:hAnsi="宋体" w:cs="宋体"/>
          <w:kern w:val="0"/>
          <w:sz w:val="24"/>
          <w:lang w:eastAsia="zh-CN"/>
        </w:rPr>
        <w:t>为</w:t>
      </w:r>
      <w:r>
        <w:rPr>
          <w:rFonts w:hint="eastAsia" w:ascii="宋体" w:hAnsi="宋体" w:cs="宋体"/>
          <w:kern w:val="0"/>
          <w:sz w:val="24"/>
          <w:lang w:val="en-US" w:eastAsia="zh-CN"/>
        </w:rPr>
        <w:t>****</w:t>
      </w:r>
      <w:r>
        <w:rPr>
          <w:rFonts w:hint="eastAsia" w:ascii="宋体" w:hAnsi="宋体" w:cs="宋体"/>
          <w:kern w:val="0"/>
          <w:sz w:val="24"/>
        </w:rPr>
        <w:t>元/吨</w:t>
      </w:r>
      <w:r>
        <w:rPr>
          <w:rFonts w:hint="eastAsia" w:ascii="宋体" w:hAnsi="宋体" w:cs="宋体"/>
          <w:kern w:val="0"/>
          <w:sz w:val="24"/>
          <w:lang w:eastAsia="zh-CN"/>
        </w:rPr>
        <w:t>，乙方需承担入库车板费用</w:t>
      </w:r>
      <w:r>
        <w:rPr>
          <w:rFonts w:hint="eastAsia" w:ascii="宋体" w:hAnsi="宋体" w:cs="宋体"/>
          <w:kern w:val="0"/>
          <w:sz w:val="24"/>
          <w:lang w:val="en-US" w:eastAsia="zh-CN"/>
        </w:rPr>
        <w:t>20元/吨</w:t>
      </w:r>
      <w:r>
        <w:rPr>
          <w:rFonts w:hint="eastAsia" w:ascii="宋体" w:hAnsi="宋体" w:cs="宋体"/>
          <w:kern w:val="0"/>
          <w:sz w:val="24"/>
          <w:lang w:eastAsia="zh-CN"/>
        </w:rPr>
        <w:t>。</w:t>
      </w:r>
    </w:p>
    <w:p w14:paraId="3BB1EF31">
      <w:pPr>
        <w:numPr>
          <w:ilvl w:val="0"/>
          <w:numId w:val="2"/>
        </w:numPr>
        <w:tabs>
          <w:tab w:val="left" w:pos="1140"/>
          <w:tab w:val="clear" w:pos="720"/>
        </w:tabs>
        <w:spacing w:line="360" w:lineRule="auto"/>
        <w:ind w:left="420" w:leftChars="200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 w:cs="宋体"/>
          <w:b/>
          <w:bCs/>
          <w:kern w:val="0"/>
          <w:sz w:val="24"/>
        </w:rPr>
        <w:t>交货时间、</w:t>
      </w:r>
      <w:r>
        <w:rPr>
          <w:rFonts w:hint="eastAsia" w:ascii="宋体" w:hAnsi="宋体"/>
          <w:b/>
          <w:bCs/>
          <w:kern w:val="0"/>
          <w:sz w:val="24"/>
        </w:rPr>
        <w:t>方法</w:t>
      </w:r>
      <w:r>
        <w:rPr>
          <w:rFonts w:hint="eastAsia" w:ascii="宋体" w:hAnsi="宋体"/>
          <w:b/>
          <w:bCs/>
          <w:kern w:val="0"/>
          <w:sz w:val="24"/>
          <w:lang w:eastAsia="zh-CN"/>
        </w:rPr>
        <w:t>：</w:t>
      </w:r>
    </w:p>
    <w:p w14:paraId="0F33E743">
      <w:pPr>
        <w:numPr>
          <w:ilvl w:val="0"/>
          <w:numId w:val="0"/>
        </w:numPr>
        <w:tabs>
          <w:tab w:val="left" w:pos="780"/>
        </w:tabs>
        <w:spacing w:line="400" w:lineRule="exact"/>
        <w:ind w:leftChars="200" w:firstLine="480" w:firstLineChars="200"/>
        <w:rPr>
          <w:rFonts w:ascii="宋体" w:hAnsi="宋体" w:cs="宋体"/>
          <w:color w:val="000000"/>
          <w:kern w:val="0"/>
          <w:sz w:val="24"/>
        </w:rPr>
      </w:pPr>
      <w:r>
        <w:rPr>
          <w:rFonts w:hint="eastAsia" w:ascii="宋体" w:hAnsi="宋体"/>
          <w:sz w:val="24"/>
          <w:lang w:val="en-US" w:eastAsia="zh-CN"/>
        </w:rPr>
        <w:t>1、</w:t>
      </w:r>
      <w:r>
        <w:rPr>
          <w:rFonts w:hint="eastAsia" w:ascii="宋体" w:hAnsi="宋体"/>
          <w:sz w:val="24"/>
        </w:rPr>
        <w:t>供货时间：</w:t>
      </w:r>
      <w:r>
        <w:rPr>
          <w:rFonts w:hint="eastAsia" w:ascii="宋体" w:hAnsi="宋体" w:cs="宋体"/>
          <w:kern w:val="0"/>
          <w:sz w:val="24"/>
          <w:u w:val="single"/>
        </w:rPr>
        <w:t xml:space="preserve">  </w:t>
      </w:r>
      <w:r>
        <w:rPr>
          <w:rFonts w:hint="eastAsia" w:ascii="宋体" w:hAnsi="宋体" w:cs="宋体"/>
          <w:kern w:val="0"/>
          <w:sz w:val="24"/>
          <w:u w:val="single"/>
          <w:lang w:eastAsia="zh-CN"/>
        </w:rPr>
        <w:t>2025</w:t>
      </w:r>
      <w:r>
        <w:rPr>
          <w:rFonts w:hint="eastAsia" w:ascii="宋体" w:hAnsi="宋体" w:cs="宋体"/>
          <w:kern w:val="0"/>
          <w:sz w:val="24"/>
          <w:u w:val="single"/>
        </w:rPr>
        <w:t xml:space="preserve">  </w:t>
      </w:r>
      <w:r>
        <w:rPr>
          <w:rFonts w:hint="eastAsia" w:ascii="宋体" w:hAnsi="宋体" w:cs="宋体"/>
          <w:kern w:val="0"/>
          <w:sz w:val="24"/>
        </w:rPr>
        <w:t>年</w:t>
      </w:r>
      <w:r>
        <w:rPr>
          <w:rFonts w:hint="eastAsia" w:ascii="宋体" w:hAnsi="宋体" w:cs="宋体"/>
          <w:kern w:val="0"/>
          <w:sz w:val="24"/>
          <w:u w:val="single"/>
          <w:lang w:val="en-US" w:eastAsia="zh-CN"/>
        </w:rPr>
        <w:t>11</w:t>
      </w:r>
      <w:r>
        <w:rPr>
          <w:rFonts w:hint="eastAsia" w:ascii="宋体" w:hAnsi="宋体" w:cs="宋体"/>
          <w:kern w:val="0"/>
          <w:sz w:val="24"/>
        </w:rPr>
        <w:t>月</w:t>
      </w:r>
      <w:r>
        <w:rPr>
          <w:rFonts w:hint="eastAsia" w:ascii="宋体" w:hAnsi="宋体" w:cs="宋体"/>
          <w:kern w:val="0"/>
          <w:sz w:val="24"/>
          <w:lang w:val="en-US" w:eastAsia="zh-CN"/>
        </w:rPr>
        <w:t>20</w:t>
      </w:r>
      <w:r>
        <w:rPr>
          <w:rFonts w:hint="eastAsia" w:ascii="宋体" w:hAnsi="宋体" w:cs="宋体"/>
          <w:kern w:val="0"/>
          <w:sz w:val="24"/>
        </w:rPr>
        <w:t>日至</w:t>
      </w:r>
      <w:r>
        <w:rPr>
          <w:rFonts w:hint="eastAsia" w:ascii="宋体" w:hAnsi="宋体" w:cs="宋体"/>
          <w:kern w:val="0"/>
          <w:sz w:val="24"/>
          <w:u w:val="single"/>
        </w:rPr>
        <w:t xml:space="preserve">  </w:t>
      </w:r>
      <w:r>
        <w:rPr>
          <w:rFonts w:hint="eastAsia" w:ascii="宋体" w:hAnsi="宋体" w:cs="宋体"/>
          <w:kern w:val="0"/>
          <w:sz w:val="24"/>
          <w:u w:val="single"/>
          <w:lang w:eastAsia="zh-CN"/>
        </w:rPr>
        <w:t>2025</w:t>
      </w:r>
      <w:r>
        <w:rPr>
          <w:rFonts w:hint="eastAsia" w:ascii="宋体" w:hAnsi="宋体" w:cs="宋体"/>
          <w:kern w:val="0"/>
          <w:sz w:val="24"/>
          <w:u w:val="single"/>
        </w:rPr>
        <w:t xml:space="preserve"> </w:t>
      </w:r>
      <w:r>
        <w:rPr>
          <w:rFonts w:hint="eastAsia" w:ascii="宋体" w:hAnsi="宋体" w:cs="宋体"/>
          <w:kern w:val="0"/>
          <w:sz w:val="24"/>
        </w:rPr>
        <w:t>年</w:t>
      </w:r>
      <w:r>
        <w:rPr>
          <w:rFonts w:hint="eastAsia" w:ascii="宋体" w:hAnsi="宋体" w:cs="宋体"/>
          <w:kern w:val="0"/>
          <w:sz w:val="24"/>
          <w:u w:val="single"/>
        </w:rPr>
        <w:t xml:space="preserve"> </w:t>
      </w:r>
      <w:r>
        <w:rPr>
          <w:rFonts w:hint="eastAsia" w:ascii="宋体" w:hAnsi="宋体" w:cs="宋体"/>
          <w:kern w:val="0"/>
          <w:sz w:val="24"/>
          <w:u w:val="single"/>
          <w:lang w:val="en-US" w:eastAsia="zh-CN"/>
        </w:rPr>
        <w:t>12</w:t>
      </w:r>
      <w:r>
        <w:rPr>
          <w:rFonts w:hint="eastAsia" w:ascii="宋体" w:hAnsi="宋体" w:cs="宋体"/>
          <w:kern w:val="0"/>
          <w:sz w:val="24"/>
        </w:rPr>
        <w:t>月</w:t>
      </w:r>
      <w:r>
        <w:rPr>
          <w:rFonts w:hint="eastAsia" w:ascii="宋体" w:hAnsi="宋体" w:cs="宋体"/>
          <w:kern w:val="0"/>
          <w:sz w:val="24"/>
          <w:u w:val="single"/>
        </w:rPr>
        <w:t xml:space="preserve"> </w:t>
      </w:r>
      <w:r>
        <w:rPr>
          <w:rFonts w:hint="eastAsia" w:ascii="宋体" w:hAnsi="宋体" w:cs="宋体"/>
          <w:kern w:val="0"/>
          <w:sz w:val="24"/>
          <w:u w:val="single"/>
          <w:lang w:val="en-US" w:eastAsia="zh-CN"/>
        </w:rPr>
        <w:t>5</w:t>
      </w:r>
      <w:r>
        <w:rPr>
          <w:rFonts w:hint="eastAsia" w:ascii="宋体" w:hAnsi="宋体" w:cs="宋体"/>
          <w:kern w:val="0"/>
          <w:sz w:val="24"/>
          <w:u w:val="single"/>
        </w:rPr>
        <w:t xml:space="preserve"> </w:t>
      </w:r>
      <w:r>
        <w:rPr>
          <w:rFonts w:hint="eastAsia" w:ascii="宋体" w:hAnsi="宋体" w:cs="宋体"/>
          <w:kern w:val="0"/>
          <w:sz w:val="24"/>
        </w:rPr>
        <w:t>日止，</w:t>
      </w:r>
      <w:r>
        <w:rPr>
          <w:rFonts w:hint="eastAsia" w:ascii="宋体" w:hAnsi="宋体" w:cs="宋体"/>
          <w:kern w:val="0"/>
          <w:sz w:val="24"/>
          <w:lang w:eastAsia="zh-CN"/>
        </w:rPr>
        <w:t>2025</w:t>
      </w:r>
      <w:r>
        <w:rPr>
          <w:rFonts w:hint="eastAsia" w:ascii="宋体" w:hAnsi="宋体" w:cs="宋体"/>
          <w:kern w:val="0"/>
          <w:sz w:val="24"/>
        </w:rPr>
        <w:t>年</w:t>
      </w:r>
      <w:r>
        <w:rPr>
          <w:rFonts w:hint="eastAsia" w:ascii="宋体" w:hAnsi="宋体" w:cs="宋体"/>
          <w:bCs/>
          <w:kern w:val="0"/>
          <w:sz w:val="24"/>
          <w:lang w:val="en-US" w:eastAsia="zh-CN"/>
        </w:rPr>
        <w:t>12</w:t>
      </w:r>
      <w:r>
        <w:rPr>
          <w:rFonts w:hint="eastAsia" w:ascii="宋体" w:hAnsi="宋体" w:cs="宋体"/>
          <w:bCs/>
          <w:kern w:val="0"/>
          <w:sz w:val="24"/>
        </w:rPr>
        <w:t>月</w:t>
      </w:r>
      <w:r>
        <w:rPr>
          <w:rFonts w:hint="eastAsia" w:ascii="宋体" w:hAnsi="宋体" w:cs="宋体"/>
          <w:bCs/>
          <w:kern w:val="0"/>
          <w:sz w:val="24"/>
          <w:lang w:val="en-US" w:eastAsia="zh-CN"/>
        </w:rPr>
        <w:t>5</w:t>
      </w:r>
      <w:r>
        <w:rPr>
          <w:rFonts w:hint="eastAsia" w:ascii="宋体" w:hAnsi="宋体" w:cs="宋体"/>
          <w:bCs/>
          <w:kern w:val="0"/>
          <w:sz w:val="24"/>
        </w:rPr>
        <w:t>日</w:t>
      </w:r>
      <w:r>
        <w:rPr>
          <w:rFonts w:ascii="宋体" w:hAnsi="宋体" w:cs="宋体"/>
          <w:bCs/>
          <w:kern w:val="0"/>
          <w:sz w:val="24"/>
        </w:rPr>
        <w:t>—</w:t>
      </w:r>
      <w:r>
        <w:rPr>
          <w:rFonts w:hint="eastAsia" w:ascii="宋体" w:hAnsi="宋体" w:cs="宋体"/>
          <w:bCs/>
          <w:kern w:val="0"/>
          <w:sz w:val="24"/>
          <w:lang w:val="en-US" w:eastAsia="zh-CN"/>
        </w:rPr>
        <w:t>12</w:t>
      </w:r>
      <w:r>
        <w:rPr>
          <w:rFonts w:hint="eastAsia" w:ascii="宋体" w:hAnsi="宋体" w:cs="宋体"/>
          <w:bCs/>
          <w:kern w:val="0"/>
          <w:sz w:val="24"/>
        </w:rPr>
        <w:t>月</w:t>
      </w:r>
      <w:r>
        <w:rPr>
          <w:rFonts w:hint="eastAsia" w:ascii="宋体" w:hAnsi="宋体" w:cs="宋体"/>
          <w:bCs/>
          <w:kern w:val="0"/>
          <w:sz w:val="24"/>
          <w:lang w:val="en-US" w:eastAsia="zh-CN"/>
        </w:rPr>
        <w:t>10</w:t>
      </w:r>
      <w:r>
        <w:rPr>
          <w:rFonts w:hint="eastAsia" w:ascii="宋体" w:hAnsi="宋体" w:cs="宋体"/>
          <w:bCs/>
          <w:kern w:val="0"/>
          <w:sz w:val="24"/>
        </w:rPr>
        <w:t>日才完成的，收取2元/吨*天滞纳金；超过</w:t>
      </w:r>
      <w:r>
        <w:rPr>
          <w:rFonts w:hint="eastAsia" w:ascii="宋体" w:hAnsi="宋体" w:cs="宋体"/>
          <w:bCs/>
          <w:kern w:val="0"/>
          <w:sz w:val="24"/>
          <w:lang w:val="en-US" w:eastAsia="zh-CN"/>
        </w:rPr>
        <w:t>12</w:t>
      </w:r>
      <w:r>
        <w:rPr>
          <w:rFonts w:hint="eastAsia" w:ascii="宋体" w:hAnsi="宋体" w:cs="宋体"/>
          <w:bCs/>
          <w:kern w:val="0"/>
          <w:sz w:val="24"/>
        </w:rPr>
        <w:t>月</w:t>
      </w:r>
      <w:r>
        <w:rPr>
          <w:rFonts w:hint="eastAsia" w:ascii="宋体" w:hAnsi="宋体" w:cs="宋体"/>
          <w:bCs/>
          <w:kern w:val="0"/>
          <w:sz w:val="24"/>
          <w:lang w:val="en-US" w:eastAsia="zh-CN"/>
        </w:rPr>
        <w:t>10</w:t>
      </w:r>
      <w:r>
        <w:rPr>
          <w:rFonts w:hint="eastAsia" w:ascii="宋体" w:hAnsi="宋体" w:cs="宋体"/>
          <w:bCs/>
          <w:kern w:val="0"/>
          <w:sz w:val="24"/>
        </w:rPr>
        <w:t>日未完成的，甲方</w:t>
      </w:r>
      <w:r>
        <w:rPr>
          <w:rFonts w:ascii="宋体" w:hAnsi="宋体" w:cs="宋体"/>
          <w:bCs/>
          <w:kern w:val="0"/>
          <w:sz w:val="24"/>
        </w:rPr>
        <w:t>有权单方终止合同，</w:t>
      </w:r>
      <w:r>
        <w:rPr>
          <w:rFonts w:hint="eastAsia" w:ascii="宋体" w:hAnsi="宋体" w:cs="宋体"/>
          <w:bCs/>
          <w:kern w:val="0"/>
          <w:sz w:val="24"/>
        </w:rPr>
        <w:t>乙方整个</w:t>
      </w:r>
      <w:r>
        <w:rPr>
          <w:rFonts w:ascii="宋体" w:hAnsi="宋体" w:cs="宋体"/>
          <w:bCs/>
          <w:kern w:val="0"/>
          <w:sz w:val="24"/>
        </w:rPr>
        <w:t>标的物保证金抵作违约金。</w:t>
      </w:r>
    </w:p>
    <w:p w14:paraId="63E96240">
      <w:pPr>
        <w:numPr>
          <w:ilvl w:val="0"/>
          <w:numId w:val="0"/>
        </w:numPr>
        <w:tabs>
          <w:tab w:val="left" w:pos="780"/>
        </w:tabs>
        <w:spacing w:line="400" w:lineRule="exact"/>
        <w:ind w:leftChars="200" w:firstLine="480" w:firstLineChars="200"/>
        <w:rPr>
          <w:rFonts w:ascii="宋体" w:hAnsi="宋体" w:cs="宋体"/>
          <w:color w:val="auto"/>
          <w:kern w:val="0"/>
          <w:sz w:val="24"/>
        </w:rPr>
      </w:pPr>
      <w:r>
        <w:rPr>
          <w:rFonts w:hint="eastAsia" w:ascii="宋体" w:hAnsi="宋体"/>
          <w:color w:val="000000"/>
          <w:sz w:val="24"/>
          <w:lang w:val="en-US" w:eastAsia="zh-CN"/>
        </w:rPr>
        <w:t>2、</w:t>
      </w:r>
      <w:r>
        <w:rPr>
          <w:rFonts w:hint="eastAsia" w:ascii="宋体" w:hAnsi="宋体"/>
          <w:color w:val="000000"/>
          <w:sz w:val="24"/>
        </w:rPr>
        <w:t>交货地点</w:t>
      </w:r>
      <w:r>
        <w:rPr>
          <w:rFonts w:hint="eastAsia" w:ascii="宋体" w:hAnsi="宋体" w:cs="宋体"/>
          <w:color w:val="000000"/>
          <w:kern w:val="0"/>
          <w:sz w:val="24"/>
        </w:rPr>
        <w:t>:</w:t>
      </w:r>
      <w:r>
        <w:rPr>
          <w:rFonts w:hint="eastAsia" w:ascii="宋体" w:hAnsi="宋体" w:cs="宋体"/>
          <w:color w:val="auto"/>
          <w:kern w:val="0"/>
          <w:sz w:val="24"/>
        </w:rPr>
        <w:t>来粮</w:t>
      </w:r>
      <w:r>
        <w:rPr>
          <w:rFonts w:hint="eastAsia" w:ascii="宋体" w:hAnsi="宋体" w:cs="宋体"/>
          <w:color w:val="auto"/>
          <w:kern w:val="0"/>
          <w:sz w:val="24"/>
          <w:lang w:eastAsia="zh-CN"/>
        </w:rPr>
        <w:t>到浦江县中心粮库（</w:t>
      </w:r>
      <w:r>
        <w:rPr>
          <w:rFonts w:hint="eastAsia" w:ascii="宋体" w:hAnsi="宋体" w:cs="宋体"/>
          <w:color w:val="auto"/>
          <w:kern w:val="0"/>
          <w:sz w:val="24"/>
        </w:rPr>
        <w:t>地址：</w:t>
      </w:r>
      <w:r>
        <w:rPr>
          <w:rFonts w:ascii="宋体" w:hAnsi="宋体" w:cs="宋体"/>
          <w:color w:val="auto"/>
          <w:sz w:val="24"/>
        </w:rPr>
        <w:t>浦江县</w:t>
      </w:r>
      <w:r>
        <w:rPr>
          <w:rFonts w:hint="eastAsia" w:ascii="宋体" w:hAnsi="宋体" w:cs="宋体"/>
          <w:color w:val="auto"/>
          <w:sz w:val="24"/>
        </w:rPr>
        <w:t>仙华街道宏业大道720号</w:t>
      </w:r>
      <w:r>
        <w:rPr>
          <w:rFonts w:hint="eastAsia" w:ascii="宋体" w:hAnsi="宋体" w:cs="宋体"/>
          <w:color w:val="auto"/>
          <w:kern w:val="0"/>
          <w:sz w:val="24"/>
        </w:rPr>
        <w:t>）经抽样化验，符合质量标准</w:t>
      </w:r>
      <w:r>
        <w:rPr>
          <w:rFonts w:hint="eastAsia" w:ascii="宋体" w:hAnsi="宋体" w:cs="宋体"/>
          <w:color w:val="auto"/>
          <w:kern w:val="0"/>
          <w:sz w:val="24"/>
          <w:lang w:eastAsia="zh-CN"/>
        </w:rPr>
        <w:t>再入库。</w:t>
      </w:r>
    </w:p>
    <w:p w14:paraId="4F38F513">
      <w:pPr>
        <w:numPr>
          <w:ilvl w:val="0"/>
          <w:numId w:val="2"/>
        </w:numPr>
        <w:tabs>
          <w:tab w:val="left" w:pos="930"/>
          <w:tab w:val="left" w:pos="960"/>
          <w:tab w:val="clear" w:pos="720"/>
        </w:tabs>
        <w:spacing w:line="360" w:lineRule="auto"/>
        <w:ind w:left="420" w:leftChars="200" w:firstLine="0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b/>
          <w:bCs/>
          <w:kern w:val="0"/>
          <w:sz w:val="24"/>
        </w:rPr>
        <w:t>车辆要求：</w:t>
      </w:r>
    </w:p>
    <w:p w14:paraId="69DD9FA2">
      <w:pPr>
        <w:spacing w:line="400" w:lineRule="exact"/>
        <w:ind w:left="420" w:leftChars="200" w:firstLine="480" w:firstLineChars="200"/>
        <w:rPr>
          <w:rFonts w:ascii="宋体" w:hAnsi="宋体" w:cs="宋体"/>
          <w:color w:val="FF0000"/>
          <w:kern w:val="0"/>
          <w:sz w:val="24"/>
        </w:rPr>
      </w:pPr>
      <w:r>
        <w:rPr>
          <w:rFonts w:hint="eastAsia" w:ascii="宋体" w:hAnsi="宋体" w:cs="宋体"/>
          <w:kern w:val="0"/>
          <w:sz w:val="24"/>
        </w:rPr>
        <w:t>必须为散粮运输专用车，不接受包装粮。</w:t>
      </w:r>
      <w:r>
        <w:rPr>
          <w:rFonts w:hint="eastAsia" w:ascii="宋体" w:hAnsi="宋体"/>
          <w:sz w:val="24"/>
        </w:rPr>
        <w:t>限制 100 吨（含车身重量）以上的车辆。</w:t>
      </w:r>
    </w:p>
    <w:p w14:paraId="2C89231B">
      <w:pPr>
        <w:numPr>
          <w:ilvl w:val="0"/>
          <w:numId w:val="2"/>
        </w:numPr>
        <w:tabs>
          <w:tab w:val="left" w:pos="930"/>
          <w:tab w:val="left" w:pos="960"/>
          <w:tab w:val="clear" w:pos="720"/>
        </w:tabs>
        <w:spacing w:line="360" w:lineRule="auto"/>
        <w:ind w:left="420" w:leftChars="200" w:firstLine="0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 w:cs="宋体"/>
          <w:b/>
          <w:bCs/>
          <w:snapToGrid w:val="0"/>
          <w:kern w:val="0"/>
          <w:sz w:val="24"/>
        </w:rPr>
        <w:t>数量确定：</w:t>
      </w:r>
    </w:p>
    <w:p w14:paraId="01984E96">
      <w:pPr>
        <w:spacing w:line="360" w:lineRule="auto"/>
        <w:ind w:left="420" w:leftChars="200" w:firstLine="480" w:firstLineChars="200"/>
        <w:rPr>
          <w:rFonts w:ascii="宋体" w:hAnsi="宋体"/>
          <w:bCs/>
          <w:kern w:val="0"/>
          <w:sz w:val="24"/>
        </w:rPr>
      </w:pPr>
      <w:r>
        <w:rPr>
          <w:rFonts w:hint="eastAsia" w:ascii="宋体" w:hAnsi="宋体" w:cs="宋体"/>
          <w:bCs/>
          <w:snapToGrid w:val="0"/>
          <w:kern w:val="0"/>
          <w:sz w:val="24"/>
        </w:rPr>
        <w:t>在浦江县</w:t>
      </w:r>
      <w:r>
        <w:rPr>
          <w:rFonts w:hint="eastAsia" w:ascii="宋体" w:hAnsi="宋体" w:cs="宋体"/>
          <w:bCs/>
          <w:snapToGrid w:val="0"/>
          <w:kern w:val="0"/>
          <w:sz w:val="24"/>
          <w:lang w:val="en-US" w:eastAsia="zh-CN"/>
        </w:rPr>
        <w:t>中心</w:t>
      </w:r>
      <w:r>
        <w:rPr>
          <w:rFonts w:hint="eastAsia" w:ascii="宋体" w:hAnsi="宋体" w:cs="宋体"/>
          <w:bCs/>
          <w:snapToGrid w:val="0"/>
          <w:kern w:val="0"/>
          <w:sz w:val="24"/>
        </w:rPr>
        <w:t>粮库地上衡上称重，确认</w:t>
      </w:r>
      <w:r>
        <w:rPr>
          <w:rFonts w:hint="eastAsia" w:ascii="宋体" w:hAnsi="宋体" w:cs="宋体"/>
          <w:bCs/>
          <w:snapToGrid w:val="0"/>
          <w:kern w:val="0"/>
          <w:sz w:val="24"/>
          <w:lang w:val="en-US" w:eastAsia="zh-CN"/>
        </w:rPr>
        <w:t>晚</w:t>
      </w:r>
      <w:r>
        <w:rPr>
          <w:rFonts w:hint="eastAsia" w:ascii="宋体" w:hAnsi="宋体" w:cs="宋体"/>
          <w:bCs/>
          <w:snapToGrid w:val="0"/>
          <w:kern w:val="0"/>
          <w:sz w:val="24"/>
        </w:rPr>
        <w:t>籼稻谷的接收数量</w:t>
      </w:r>
      <w:r>
        <w:rPr>
          <w:rFonts w:hint="eastAsia" w:ascii="宋体" w:hAnsi="宋体"/>
          <w:bCs/>
          <w:kern w:val="0"/>
          <w:sz w:val="24"/>
        </w:rPr>
        <w:t>。</w:t>
      </w:r>
    </w:p>
    <w:p w14:paraId="27481F7E">
      <w:pPr>
        <w:numPr>
          <w:ilvl w:val="0"/>
          <w:numId w:val="2"/>
        </w:numPr>
        <w:tabs>
          <w:tab w:val="left" w:pos="930"/>
          <w:tab w:val="left" w:pos="960"/>
          <w:tab w:val="clear" w:pos="720"/>
        </w:tabs>
        <w:spacing w:line="360" w:lineRule="auto"/>
        <w:ind w:left="420" w:leftChars="200" w:firstLine="0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b/>
          <w:bCs/>
          <w:kern w:val="0"/>
          <w:sz w:val="24"/>
        </w:rPr>
        <w:t>货款结算：</w:t>
      </w:r>
    </w:p>
    <w:p w14:paraId="301A2BE4">
      <w:pPr>
        <w:widowControl/>
        <w:spacing w:line="400" w:lineRule="exact"/>
        <w:ind w:left="479" w:leftChars="228" w:firstLine="480" w:firstLineChars="200"/>
        <w:jc w:val="left"/>
        <w:rPr>
          <w:rFonts w:hint="eastAsia" w:ascii="宋体" w:hAnsi="宋体" w:cs="宋体"/>
          <w:kern w:val="0"/>
          <w:sz w:val="24"/>
        </w:rPr>
      </w:pPr>
      <w:r>
        <w:rPr>
          <w:rFonts w:hint="eastAsia" w:ascii="宋体" w:hAnsi="宋体"/>
          <w:sz w:val="24"/>
        </w:rPr>
        <w:t>货款结算方式:粮食入库后，乙方凭相关验收凭证、正式税务发票</w:t>
      </w:r>
      <w:r>
        <w:rPr>
          <w:rFonts w:hint="eastAsia" w:ascii="宋体" w:hAnsi="宋体" w:cs="宋体"/>
          <w:kern w:val="0"/>
          <w:sz w:val="24"/>
        </w:rPr>
        <w:t>以300吨及以上为一批次</w:t>
      </w:r>
      <w:r>
        <w:rPr>
          <w:rFonts w:hint="eastAsia" w:ascii="宋体" w:hAnsi="宋体"/>
          <w:sz w:val="24"/>
        </w:rPr>
        <w:t>到甲方财务部结算80%数量的货款。</w:t>
      </w:r>
      <w:r>
        <w:rPr>
          <w:rFonts w:hint="eastAsia" w:ascii="宋体" w:hAnsi="宋体" w:cs="宋体"/>
          <w:snapToGrid w:val="0"/>
          <w:kern w:val="0"/>
          <w:sz w:val="24"/>
        </w:rPr>
        <w:t>最后20%数量的货款在具有CMA认证资质的粮油质量检测机构检测符合本</w:t>
      </w:r>
      <w:r>
        <w:rPr>
          <w:rFonts w:hint="eastAsia" w:ascii="宋体" w:hAnsi="宋体" w:cs="宋体"/>
          <w:snapToGrid w:val="0"/>
          <w:kern w:val="0"/>
          <w:sz w:val="24"/>
          <w:lang w:eastAsia="zh-CN"/>
        </w:rPr>
        <w:t>合同</w:t>
      </w:r>
      <w:r>
        <w:rPr>
          <w:rFonts w:hint="eastAsia" w:ascii="宋体" w:hAnsi="宋体" w:cs="宋体"/>
          <w:snapToGrid w:val="0"/>
          <w:kern w:val="0"/>
          <w:sz w:val="24"/>
        </w:rPr>
        <w:t>第</w:t>
      </w:r>
      <w:r>
        <w:rPr>
          <w:rFonts w:hint="eastAsia" w:ascii="宋体" w:hAnsi="宋体" w:cs="宋体"/>
          <w:snapToGrid w:val="0"/>
          <w:kern w:val="0"/>
          <w:sz w:val="24"/>
          <w:lang w:eastAsia="zh-CN"/>
        </w:rPr>
        <w:t>二</w:t>
      </w:r>
      <w:r>
        <w:rPr>
          <w:rFonts w:hint="eastAsia" w:ascii="宋体" w:hAnsi="宋体" w:cs="宋体"/>
          <w:snapToGrid w:val="0"/>
          <w:kern w:val="0"/>
          <w:sz w:val="24"/>
        </w:rPr>
        <w:t>条第1、2点的质量及卫生指标要求，并且</w:t>
      </w:r>
      <w:r>
        <w:rPr>
          <w:rFonts w:hint="eastAsia" w:ascii="宋体" w:hAnsi="宋体" w:cs="宋体"/>
          <w:kern w:val="0"/>
          <w:sz w:val="24"/>
        </w:rPr>
        <w:t>无陈粮互混</w:t>
      </w:r>
      <w:r>
        <w:rPr>
          <w:rFonts w:hint="eastAsia" w:ascii="宋体" w:hAnsi="宋体" w:cs="宋体"/>
          <w:snapToGrid w:val="0"/>
          <w:kern w:val="0"/>
          <w:sz w:val="24"/>
        </w:rPr>
        <w:t>后，凭</w:t>
      </w:r>
      <w:r>
        <w:rPr>
          <w:rFonts w:hint="eastAsia" w:ascii="宋体" w:hAnsi="宋体"/>
          <w:sz w:val="24"/>
        </w:rPr>
        <w:t>正式税务发票</w:t>
      </w:r>
      <w:r>
        <w:rPr>
          <w:rFonts w:hint="eastAsia" w:ascii="宋体" w:hAnsi="宋体" w:cs="宋体"/>
          <w:snapToGrid w:val="0"/>
          <w:kern w:val="0"/>
          <w:sz w:val="24"/>
        </w:rPr>
        <w:t>结清。</w:t>
      </w:r>
      <w:r>
        <w:rPr>
          <w:rFonts w:hint="eastAsia" w:ascii="宋体" w:hAnsi="宋体"/>
          <w:bCs/>
          <w:kern w:val="0"/>
          <w:sz w:val="24"/>
        </w:rPr>
        <w:t>货款结算</w:t>
      </w:r>
      <w:r>
        <w:rPr>
          <w:rFonts w:hint="eastAsia" w:ascii="宋体" w:hAnsi="宋体" w:cs="宋体"/>
          <w:bCs/>
          <w:snapToGrid w:val="0"/>
          <w:kern w:val="0"/>
          <w:sz w:val="24"/>
        </w:rPr>
        <w:t>户名：</w:t>
      </w:r>
      <w:r>
        <w:rPr>
          <w:rFonts w:hint="eastAsia"/>
          <w:b/>
          <w:sz w:val="24"/>
          <w:lang w:val="en-US" w:eastAsia="zh-CN"/>
        </w:rPr>
        <w:t>***</w:t>
      </w:r>
      <w:r>
        <w:rPr>
          <w:rFonts w:hint="eastAsia" w:ascii="宋体" w:hAnsi="宋体" w:cs="宋体"/>
          <w:kern w:val="0"/>
          <w:sz w:val="24"/>
        </w:rPr>
        <w:t>，开户银行：</w:t>
      </w:r>
      <w:r>
        <w:rPr>
          <w:rFonts w:hint="eastAsia" w:ascii="宋体" w:hAnsi="宋体" w:cs="宋体"/>
          <w:kern w:val="0"/>
          <w:sz w:val="24"/>
          <w:lang w:val="en-US" w:eastAsia="zh-CN"/>
        </w:rPr>
        <w:t>***</w:t>
      </w:r>
      <w:r>
        <w:rPr>
          <w:rFonts w:hint="eastAsia" w:ascii="宋体" w:hAnsi="宋体" w:cs="宋体"/>
          <w:kern w:val="0"/>
          <w:sz w:val="24"/>
        </w:rPr>
        <w:t>，账号：</w:t>
      </w:r>
      <w:r>
        <w:rPr>
          <w:rFonts w:hint="eastAsia" w:ascii="宋体" w:hAnsi="宋体" w:cs="宋体"/>
          <w:kern w:val="0"/>
          <w:sz w:val="24"/>
          <w:lang w:val="en-US" w:eastAsia="zh-CN"/>
        </w:rPr>
        <w:t>***</w:t>
      </w:r>
      <w:r>
        <w:rPr>
          <w:rFonts w:hint="eastAsia" w:ascii="宋体" w:hAnsi="宋体" w:cs="宋体"/>
          <w:kern w:val="0"/>
          <w:sz w:val="24"/>
        </w:rPr>
        <w:t>。</w:t>
      </w:r>
    </w:p>
    <w:p w14:paraId="64C5CB40">
      <w:pPr>
        <w:numPr>
          <w:ilvl w:val="0"/>
          <w:numId w:val="2"/>
        </w:numPr>
        <w:tabs>
          <w:tab w:val="left" w:pos="930"/>
          <w:tab w:val="left" w:pos="960"/>
          <w:tab w:val="clear" w:pos="720"/>
        </w:tabs>
        <w:spacing w:line="360" w:lineRule="auto"/>
        <w:ind w:left="420" w:leftChars="200" w:firstLine="0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b/>
          <w:bCs/>
          <w:kern w:val="0"/>
          <w:sz w:val="24"/>
        </w:rPr>
        <w:t>未尽事宜根据国粮浙交</w:t>
      </w:r>
      <w:r>
        <w:rPr>
          <w:rFonts w:hint="eastAsia" w:ascii="宋体" w:hAnsi="宋体"/>
          <w:b/>
          <w:bCs/>
          <w:kern w:val="0"/>
          <w:sz w:val="24"/>
          <w:lang w:eastAsia="zh-CN"/>
        </w:rPr>
        <w:t>2025</w:t>
      </w:r>
      <w:r>
        <w:rPr>
          <w:rFonts w:hint="eastAsia" w:ascii="宋体" w:hAnsi="宋体"/>
          <w:b/>
          <w:bCs/>
          <w:kern w:val="0"/>
          <w:sz w:val="24"/>
        </w:rPr>
        <w:t>第</w:t>
      </w:r>
      <w:r>
        <w:rPr>
          <w:rFonts w:hint="eastAsia" w:ascii="宋体" w:hAnsi="宋体"/>
          <w:b/>
          <w:bCs/>
          <w:kern w:val="0"/>
          <w:sz w:val="24"/>
          <w:lang w:val="en-US" w:eastAsia="zh-CN"/>
        </w:rPr>
        <w:t>***</w:t>
      </w:r>
      <w:r>
        <w:rPr>
          <w:rFonts w:hint="eastAsia" w:ascii="宋体" w:hAnsi="宋体"/>
          <w:b/>
          <w:bCs/>
          <w:kern w:val="0"/>
          <w:sz w:val="24"/>
        </w:rPr>
        <w:t>号竞价交易公告、交易细则执行。</w:t>
      </w:r>
    </w:p>
    <w:p w14:paraId="365FDAC6">
      <w:pPr>
        <w:numPr>
          <w:ilvl w:val="0"/>
          <w:numId w:val="2"/>
        </w:numPr>
        <w:tabs>
          <w:tab w:val="left" w:pos="930"/>
          <w:tab w:val="left" w:pos="960"/>
          <w:tab w:val="clear" w:pos="720"/>
        </w:tabs>
        <w:spacing w:line="360" w:lineRule="auto"/>
        <w:ind w:left="420" w:leftChars="200" w:firstLine="0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b/>
          <w:bCs/>
          <w:kern w:val="0"/>
          <w:sz w:val="24"/>
        </w:rPr>
        <w:t>本协议一式三份。</w:t>
      </w:r>
    </w:p>
    <w:p w14:paraId="6CA7AF8A">
      <w:pPr>
        <w:ind w:left="420" w:leftChars="200"/>
        <w:rPr>
          <w:rFonts w:ascii="宋体" w:hAnsi="宋体"/>
          <w:b/>
          <w:bCs/>
          <w:kern w:val="0"/>
          <w:sz w:val="24"/>
        </w:rPr>
      </w:pPr>
    </w:p>
    <w:p w14:paraId="018D4F1F">
      <w:pPr>
        <w:rPr>
          <w:rFonts w:ascii="宋体" w:hAnsi="宋体"/>
          <w:b/>
          <w:bCs/>
          <w:kern w:val="0"/>
          <w:sz w:val="24"/>
        </w:rPr>
      </w:pPr>
    </w:p>
    <w:p w14:paraId="0094CCA9">
      <w:pPr>
        <w:ind w:left="420" w:leftChars="200"/>
        <w:rPr>
          <w:rFonts w:hint="default"/>
          <w:b/>
          <w:sz w:val="24"/>
          <w:lang w:val="en-US"/>
        </w:rPr>
      </w:pPr>
      <w:r>
        <w:rPr>
          <w:rFonts w:hint="eastAsia" w:ascii="宋体" w:hAnsi="宋体"/>
          <w:b/>
          <w:bCs/>
          <w:kern w:val="0"/>
          <w:sz w:val="24"/>
        </w:rPr>
        <w:t>甲方：浦江县粮食收储有限公司      乙方：</w:t>
      </w:r>
      <w:r>
        <w:rPr>
          <w:rFonts w:hint="eastAsia" w:ascii="宋体" w:hAnsi="宋体"/>
          <w:b/>
          <w:bCs/>
          <w:kern w:val="0"/>
          <w:sz w:val="24"/>
          <w:lang w:val="en-US" w:eastAsia="zh-CN"/>
        </w:rPr>
        <w:t>***</w:t>
      </w:r>
    </w:p>
    <w:p w14:paraId="11118E61">
      <w:pPr>
        <w:ind w:left="420" w:leftChars="200"/>
        <w:rPr>
          <w:rFonts w:ascii="宋体" w:hAnsi="宋体"/>
          <w:b/>
          <w:bCs/>
          <w:kern w:val="0"/>
          <w:sz w:val="24"/>
        </w:rPr>
      </w:pPr>
    </w:p>
    <w:p w14:paraId="29E17473">
      <w:pPr>
        <w:ind w:left="420" w:leftChars="200"/>
        <w:rPr>
          <w:rFonts w:ascii="宋体" w:hAnsi="宋体"/>
          <w:b/>
          <w:bCs/>
          <w:kern w:val="0"/>
          <w:sz w:val="24"/>
        </w:rPr>
      </w:pPr>
    </w:p>
    <w:p w14:paraId="6B9B97CF">
      <w:pPr>
        <w:ind w:left="420" w:leftChars="200"/>
        <w:rPr>
          <w:rFonts w:ascii="宋体" w:hAnsi="宋体"/>
          <w:b/>
          <w:bCs/>
          <w:kern w:val="0"/>
          <w:sz w:val="24"/>
        </w:rPr>
      </w:pPr>
    </w:p>
    <w:p w14:paraId="6540B110">
      <w:pPr>
        <w:ind w:left="420" w:leftChars="200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b/>
          <w:bCs/>
          <w:kern w:val="0"/>
          <w:sz w:val="24"/>
        </w:rPr>
        <w:t>代表签名:                         代表签名:</w:t>
      </w:r>
    </w:p>
    <w:p w14:paraId="6905BA06">
      <w:pPr>
        <w:ind w:left="420" w:leftChars="200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b/>
          <w:bCs/>
          <w:kern w:val="0"/>
          <w:sz w:val="24"/>
        </w:rPr>
        <w:t xml:space="preserve">       </w:t>
      </w:r>
    </w:p>
    <w:p w14:paraId="043145A3">
      <w:pPr>
        <w:ind w:left="420" w:leftChars="200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b/>
          <w:bCs/>
          <w:kern w:val="0"/>
          <w:sz w:val="24"/>
        </w:rPr>
        <w:t xml:space="preserve">                     </w:t>
      </w:r>
    </w:p>
    <w:p w14:paraId="0C883183">
      <w:pPr>
        <w:ind w:left="420" w:leftChars="200"/>
        <w:rPr>
          <w:rFonts w:ascii="宋体" w:hAnsi="宋体"/>
          <w:b/>
          <w:bCs/>
          <w:kern w:val="0"/>
          <w:sz w:val="24"/>
        </w:rPr>
      </w:pPr>
    </w:p>
    <w:p w14:paraId="136322EB">
      <w:pPr>
        <w:ind w:left="420" w:leftChars="200"/>
        <w:rPr>
          <w:rFonts w:ascii="宋体" w:hAnsi="宋体"/>
          <w:b/>
          <w:bCs/>
          <w:kern w:val="0"/>
          <w:sz w:val="24"/>
        </w:rPr>
      </w:pPr>
    </w:p>
    <w:p w14:paraId="479BF53A">
      <w:pPr>
        <w:ind w:left="420" w:leftChars="200" w:firstLine="4518"/>
        <w:jc w:val="center"/>
      </w:pPr>
      <w:r>
        <w:rPr>
          <w:rFonts w:hint="eastAsia" w:ascii="宋体" w:hAnsi="宋体"/>
          <w:b/>
          <w:bCs/>
          <w:kern w:val="0"/>
          <w:sz w:val="24"/>
          <w:lang w:eastAsia="zh-CN"/>
        </w:rPr>
        <w:t>2025</w:t>
      </w:r>
      <w:r>
        <w:rPr>
          <w:rFonts w:hint="eastAsia" w:ascii="宋体" w:hAnsi="宋体"/>
          <w:b/>
          <w:bCs/>
          <w:kern w:val="0"/>
          <w:sz w:val="24"/>
        </w:rPr>
        <w:t>年</w:t>
      </w:r>
      <w:r>
        <w:rPr>
          <w:rFonts w:hint="eastAsia" w:ascii="宋体" w:hAnsi="宋体"/>
          <w:b/>
          <w:bCs/>
          <w:kern w:val="0"/>
          <w:sz w:val="24"/>
          <w:lang w:val="en-US" w:eastAsia="zh-CN"/>
        </w:rPr>
        <w:t>11</w:t>
      </w:r>
      <w:r>
        <w:rPr>
          <w:rFonts w:hint="eastAsia" w:ascii="宋体" w:hAnsi="宋体"/>
          <w:b/>
          <w:bCs/>
          <w:kern w:val="0"/>
          <w:sz w:val="24"/>
        </w:rPr>
        <w:t>月</w:t>
      </w:r>
      <w:r>
        <w:rPr>
          <w:rFonts w:hint="eastAsia" w:ascii="宋体" w:hAnsi="宋体"/>
          <w:b/>
          <w:bCs/>
          <w:kern w:val="0"/>
          <w:sz w:val="24"/>
          <w:lang w:val="en-US" w:eastAsia="zh-CN"/>
        </w:rPr>
        <w:t>18</w:t>
      </w:r>
      <w:r>
        <w:rPr>
          <w:rFonts w:hint="eastAsia" w:ascii="宋体" w:hAnsi="宋体"/>
          <w:b/>
          <w:bCs/>
          <w:kern w:val="0"/>
          <w:sz w:val="24"/>
        </w:rPr>
        <w:t>日于浦江</w:t>
      </w:r>
    </w:p>
    <w:p w14:paraId="7614B469"/>
    <w:p w14:paraId="3A0FB4F1">
      <w:bookmarkStart w:id="0" w:name="_GoBack"/>
      <w:bookmarkEnd w:id="0"/>
    </w:p>
    <w:p w14:paraId="12F844C8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DEF3F35"/>
    <w:multiLevelType w:val="multilevel"/>
    <w:tmpl w:val="0DEF3F35"/>
    <w:lvl w:ilvl="0" w:tentative="0">
      <w:start w:val="4"/>
      <w:numFmt w:val="japaneseCounting"/>
      <w:lvlText w:val="%1、"/>
      <w:lvlJc w:val="left"/>
      <w:pPr>
        <w:tabs>
          <w:tab w:val="left" w:pos="720"/>
        </w:tabs>
        <w:ind w:left="720" w:hanging="720"/>
      </w:pPr>
      <w:rPr>
        <w:rFonts w:hint="default" w:cs="宋体"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1">
    <w:nsid w:val="48EB1BAB"/>
    <w:multiLevelType w:val="singleLevel"/>
    <w:tmpl w:val="48EB1BAB"/>
    <w:lvl w:ilvl="0" w:tentative="0">
      <w:start w:val="1"/>
      <w:numFmt w:val="japaneseCounting"/>
      <w:lvlText w:val="%1、"/>
      <w:lvlJc w:val="left"/>
      <w:pPr>
        <w:tabs>
          <w:tab w:val="left" w:pos="750"/>
        </w:tabs>
        <w:ind w:left="750" w:hanging="570"/>
      </w:pPr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D737711"/>
    <w:rsid w:val="7D7377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2025-11-11T00:52:00Z</dcterms:created>
  <dc:creator>a张国坚</dc:creator>
  <cp:lastModifiedBy>a张国坚</cp:lastModifiedBy>
  <dcterms:modified xsi:type="dcterms:W3CDTF">2025-11-11T00:55:27Z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079240EA55024F0B969BD027A56A36A1_11</vt:lpwstr>
  </property>
  <property fmtid="{D5CDD505-2E9C-101B-9397-08002B2CF9AE}" pid="4" name="KSOTemplateDocerSaveRecord">
    <vt:lpwstr>eyJoZGlkIjoiYTZhNGNlODU1NmM1ZTU5MmViZTAxZmM3MGFmYWQ3NWEiLCJ1c2VySWQiOiI3OTE2NzE4NTkifQ==</vt:lpwstr>
  </property>
</Properties>
</file>