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ACB7EC4">
      <w:pPr>
        <w:rPr>
          <w:rFonts w:hint="eastAsia" w:ascii="仿宋" w:hAnsi="仿宋" w:eastAsia="仿宋" w:cs="仿宋"/>
          <w:sz w:val="24"/>
        </w:rPr>
      </w:pPr>
    </w:p>
    <w:p w14:paraId="7E08EC7F">
      <w:pPr>
        <w:spacing w:afterLines="50"/>
        <w:jc w:val="center"/>
        <w:rPr>
          <w:rFonts w:hint="eastAsia" w:ascii="方正大标宋简体" w:hAnsi="方正大标宋简体" w:eastAsia="方正大标宋简体" w:cs="方正大标宋简体"/>
          <w:b w:val="0"/>
          <w:bCs/>
          <w:sz w:val="40"/>
        </w:rPr>
      </w:pPr>
      <w:r>
        <w:rPr>
          <w:rFonts w:hint="eastAsia" w:ascii="方正大标宋简体" w:hAnsi="方正大标宋简体" w:eastAsia="方正大标宋简体" w:cs="方正大标宋简体"/>
          <w:b w:val="0"/>
          <w:bCs/>
          <w:sz w:val="40"/>
        </w:rPr>
        <w:t>粮油购销合同</w:t>
      </w:r>
    </w:p>
    <w:p w14:paraId="003EF3E1">
      <w:pPr>
        <w:rPr>
          <w:rFonts w:hint="eastAsia" w:ascii="仿宋" w:hAnsi="仿宋" w:eastAsia="仿宋" w:cs="仿宋"/>
          <w:sz w:val="24"/>
        </w:rPr>
      </w:pPr>
    </w:p>
    <w:p w14:paraId="013B5AC4">
      <w:pPr>
        <w:rPr>
          <w:rFonts w:hint="eastAsia" w:asciiTheme="majorEastAsia" w:hAnsiTheme="majorEastAsia" w:eastAsiaTheme="majorEastAsia" w:cstheme="majorEastAsia"/>
          <w:color w:val="000000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</w:rPr>
        <w:t>供方：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u w:val="single"/>
        </w:rPr>
        <w:t xml:space="preserve">安吉县粮食收储有限公司 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</w:rPr>
        <w:t xml:space="preserve">            （甲方）  合同编号：2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lang w:val="en-US" w:eastAsia="zh-CN"/>
        </w:rPr>
        <w:t>025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</w:rPr>
        <w:t>（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lang w:val="en-US" w:eastAsia="zh-CN"/>
        </w:rPr>
        <w:t xml:space="preserve">  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</w:rPr>
        <w:t>）号</w:t>
      </w:r>
    </w:p>
    <w:p w14:paraId="7F848668">
      <w:pPr>
        <w:spacing w:beforeLines="50" w:afterLines="50"/>
        <w:rPr>
          <w:rFonts w:hint="eastAsia" w:asciiTheme="majorEastAsia" w:hAnsiTheme="majorEastAsia" w:eastAsiaTheme="majorEastAsia" w:cstheme="majorEastAsia"/>
          <w:color w:val="000000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</w:rPr>
        <w:t>需方：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u w:val="single"/>
          <w:lang w:val="en-US" w:eastAsia="zh-CN"/>
        </w:rPr>
        <w:t xml:space="preserve">                        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u w:val="none"/>
          <w:lang w:val="en-US" w:eastAsia="zh-CN"/>
        </w:rPr>
        <w:t xml:space="preserve">    　　　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u w:val="none"/>
        </w:rPr>
        <w:t xml:space="preserve"> 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</w:rPr>
        <w:t xml:space="preserve"> （乙方）  签订地点：安吉县</w:t>
      </w:r>
    </w:p>
    <w:p w14:paraId="1BE39F3E">
      <w:pPr>
        <w:spacing w:beforeLines="50" w:afterLines="50"/>
        <w:ind w:firstLine="480" w:firstLineChars="200"/>
        <w:rPr>
          <w:rFonts w:hint="eastAsia" w:asciiTheme="majorEastAsia" w:hAnsiTheme="majorEastAsia" w:eastAsiaTheme="majorEastAsia" w:cstheme="majorEastAsia"/>
          <w:color w:val="000000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</w:rPr>
        <w:t>甲方于202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lang w:val="en-US" w:eastAsia="zh-CN"/>
        </w:rPr>
        <w:t>5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</w:rPr>
        <w:t>年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lang w:val="en-US" w:eastAsia="zh-CN"/>
        </w:rPr>
        <w:t>11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</w:rPr>
        <w:t>月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lang w:val="en-US" w:eastAsia="zh-CN"/>
        </w:rPr>
        <w:t>24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</w:rPr>
        <w:t>日在国家粮食交易中心进行了储备粮公开竞价销售（场次编号：国粮浙交202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lang w:val="en-US" w:eastAsia="zh-CN"/>
        </w:rPr>
        <w:t>5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</w:rPr>
        <w:t>第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lang w:val="en-US" w:eastAsia="zh-CN"/>
        </w:rPr>
        <w:t>954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</w:rPr>
        <w:t>号），乙方参与拍卖并中标，根据招标标书内容及交易结果，甲乙双方订立如下合同，以资共同遵守。</w:t>
      </w:r>
    </w:p>
    <w:p w14:paraId="4FC12A34">
      <w:pPr>
        <w:spacing w:afterLines="50"/>
        <w:rPr>
          <w:rFonts w:hint="eastAsia" w:asciiTheme="majorEastAsia" w:hAnsiTheme="majorEastAsia" w:eastAsiaTheme="majorEastAsia" w:cstheme="majorEastAsia"/>
          <w:color w:val="000000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</w:rPr>
        <w:t>一、产品名称、品种、数量、金额、                签订时间：202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lang w:val="en-US" w:eastAsia="zh-CN"/>
        </w:rPr>
        <w:t>5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</w:rPr>
        <w:t>年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lang w:val="en-US" w:eastAsia="zh-CN"/>
        </w:rPr>
        <w:t>11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</w:rPr>
        <w:t>月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lang w:val="en-US" w:eastAsia="zh-CN"/>
        </w:rPr>
        <w:t>25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</w:rPr>
        <w:t>日</w:t>
      </w:r>
    </w:p>
    <w:tbl>
      <w:tblPr>
        <w:tblStyle w:val="3"/>
        <w:tblW w:w="9924" w:type="dxa"/>
        <w:tblInd w:w="-31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8"/>
        <w:gridCol w:w="1219"/>
        <w:gridCol w:w="709"/>
        <w:gridCol w:w="1559"/>
        <w:gridCol w:w="893"/>
        <w:gridCol w:w="1234"/>
        <w:gridCol w:w="1559"/>
        <w:gridCol w:w="1843"/>
      </w:tblGrid>
      <w:tr w14:paraId="2CADBD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0" w:hRule="atLeast"/>
        </w:trPr>
        <w:tc>
          <w:tcPr>
            <w:tcW w:w="908" w:type="dxa"/>
            <w:vAlign w:val="center"/>
          </w:tcPr>
          <w:p w14:paraId="0740F4C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Theme="majorEastAsia" w:hAnsiTheme="majorEastAsia" w:eastAsiaTheme="majorEastAsia" w:cstheme="majorEastAsia"/>
                <w:color w:val="00000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sz w:val="24"/>
                <w:szCs w:val="24"/>
              </w:rPr>
              <w:t>中标标段</w:t>
            </w:r>
          </w:p>
        </w:tc>
        <w:tc>
          <w:tcPr>
            <w:tcW w:w="1219" w:type="dxa"/>
            <w:vAlign w:val="center"/>
          </w:tcPr>
          <w:p w14:paraId="0711801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Theme="majorEastAsia" w:hAnsiTheme="majorEastAsia" w:eastAsiaTheme="majorEastAsia" w:cstheme="majorEastAsia"/>
                <w:color w:val="00000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sz w:val="24"/>
                <w:szCs w:val="24"/>
              </w:rPr>
              <w:t>年份</w:t>
            </w:r>
          </w:p>
        </w:tc>
        <w:tc>
          <w:tcPr>
            <w:tcW w:w="709" w:type="dxa"/>
            <w:vAlign w:val="center"/>
          </w:tcPr>
          <w:p w14:paraId="30AF2ED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Theme="majorEastAsia" w:hAnsiTheme="majorEastAsia" w:eastAsiaTheme="majorEastAsia" w:cstheme="majorEastAsia"/>
                <w:color w:val="00000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sz w:val="24"/>
                <w:szCs w:val="24"/>
              </w:rPr>
              <w:t>仓号</w:t>
            </w:r>
          </w:p>
        </w:tc>
        <w:tc>
          <w:tcPr>
            <w:tcW w:w="1559" w:type="dxa"/>
            <w:vAlign w:val="center"/>
          </w:tcPr>
          <w:p w14:paraId="6C38D04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Theme="majorEastAsia" w:hAnsiTheme="majorEastAsia" w:eastAsiaTheme="majorEastAsia" w:cstheme="majorEastAsia"/>
                <w:color w:val="00000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sz w:val="24"/>
                <w:szCs w:val="24"/>
              </w:rPr>
              <w:t>品种</w:t>
            </w:r>
          </w:p>
        </w:tc>
        <w:tc>
          <w:tcPr>
            <w:tcW w:w="893" w:type="dxa"/>
            <w:vAlign w:val="center"/>
          </w:tcPr>
          <w:p w14:paraId="2E0FC35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Theme="majorEastAsia" w:hAnsiTheme="majorEastAsia" w:eastAsiaTheme="majorEastAsia" w:cstheme="majorEastAsia"/>
                <w:color w:val="00000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sz w:val="24"/>
                <w:szCs w:val="24"/>
              </w:rPr>
              <w:t>计量单位</w:t>
            </w:r>
          </w:p>
        </w:tc>
        <w:tc>
          <w:tcPr>
            <w:tcW w:w="1234" w:type="dxa"/>
            <w:vAlign w:val="center"/>
          </w:tcPr>
          <w:p w14:paraId="4BA0731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Theme="majorEastAsia" w:hAnsiTheme="majorEastAsia" w:eastAsiaTheme="majorEastAsia" w:cstheme="majorEastAsia"/>
                <w:color w:val="00000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sz w:val="24"/>
                <w:szCs w:val="24"/>
              </w:rPr>
              <w:t>数量（吨）</w:t>
            </w:r>
          </w:p>
        </w:tc>
        <w:tc>
          <w:tcPr>
            <w:tcW w:w="1559" w:type="dxa"/>
            <w:vAlign w:val="center"/>
          </w:tcPr>
          <w:p w14:paraId="5ED1053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Theme="majorEastAsia" w:hAnsiTheme="majorEastAsia" w:eastAsiaTheme="majorEastAsia" w:cstheme="majorEastAsia"/>
                <w:color w:val="00000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sz w:val="24"/>
                <w:szCs w:val="24"/>
              </w:rPr>
              <w:t>单 价</w:t>
            </w:r>
          </w:p>
        </w:tc>
        <w:tc>
          <w:tcPr>
            <w:tcW w:w="1843" w:type="dxa"/>
            <w:vAlign w:val="center"/>
          </w:tcPr>
          <w:p w14:paraId="5F7BA06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Theme="majorEastAsia" w:hAnsiTheme="majorEastAsia" w:eastAsiaTheme="majorEastAsia" w:cstheme="majorEastAsia"/>
                <w:color w:val="00000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sz w:val="24"/>
                <w:szCs w:val="24"/>
              </w:rPr>
              <w:t>金额（元）</w:t>
            </w:r>
          </w:p>
        </w:tc>
      </w:tr>
      <w:tr w14:paraId="5CC387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2" w:hRule="atLeast"/>
        </w:trPr>
        <w:tc>
          <w:tcPr>
            <w:tcW w:w="908" w:type="dxa"/>
            <w:vAlign w:val="center"/>
          </w:tcPr>
          <w:p w14:paraId="61A7552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Theme="majorEastAsia" w:hAnsiTheme="majorEastAsia" w:eastAsiaTheme="majorEastAsia" w:cstheme="majorEastAsia"/>
                <w:color w:val="000000"/>
                <w:sz w:val="24"/>
                <w:szCs w:val="24"/>
              </w:rPr>
            </w:pPr>
          </w:p>
        </w:tc>
        <w:tc>
          <w:tcPr>
            <w:tcW w:w="1219" w:type="dxa"/>
            <w:vAlign w:val="center"/>
          </w:tcPr>
          <w:p w14:paraId="5783374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Theme="majorEastAsia" w:hAnsiTheme="majorEastAsia" w:eastAsiaTheme="majorEastAsia" w:cstheme="majorEastAsia"/>
                <w:color w:val="000000"/>
                <w:sz w:val="24"/>
                <w:szCs w:val="24"/>
                <w:lang w:val="en-US" w:eastAsia="zh-CN"/>
              </w:rPr>
            </w:pPr>
          </w:p>
        </w:tc>
        <w:tc>
          <w:tcPr>
            <w:tcW w:w="709" w:type="dxa"/>
            <w:vAlign w:val="center"/>
          </w:tcPr>
          <w:p w14:paraId="171A300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Theme="majorEastAsia" w:hAnsiTheme="majorEastAsia" w:eastAsiaTheme="majorEastAsia" w:cstheme="majorEastAsia"/>
                <w:color w:val="000000"/>
                <w:sz w:val="24"/>
                <w:szCs w:val="24"/>
                <w:lang w:val="en-US" w:eastAsia="zh-CN"/>
              </w:rPr>
            </w:pPr>
          </w:p>
        </w:tc>
        <w:tc>
          <w:tcPr>
            <w:tcW w:w="1559" w:type="dxa"/>
            <w:vAlign w:val="center"/>
          </w:tcPr>
          <w:p w14:paraId="4E58598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Theme="majorEastAsia" w:hAnsiTheme="majorEastAsia" w:eastAsiaTheme="majorEastAsia" w:cstheme="majorEastAsia"/>
                <w:color w:val="000000"/>
                <w:sz w:val="24"/>
                <w:szCs w:val="24"/>
              </w:rPr>
            </w:pPr>
          </w:p>
        </w:tc>
        <w:tc>
          <w:tcPr>
            <w:tcW w:w="893" w:type="dxa"/>
            <w:vAlign w:val="center"/>
          </w:tcPr>
          <w:p w14:paraId="7542ED7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Theme="majorEastAsia" w:hAnsiTheme="majorEastAsia" w:eastAsiaTheme="majorEastAsia" w:cstheme="majorEastAsia"/>
                <w:color w:val="000000"/>
                <w:sz w:val="24"/>
                <w:szCs w:val="24"/>
              </w:rPr>
            </w:pPr>
          </w:p>
        </w:tc>
        <w:tc>
          <w:tcPr>
            <w:tcW w:w="1234" w:type="dxa"/>
            <w:vAlign w:val="center"/>
          </w:tcPr>
          <w:p w14:paraId="231DEF2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Theme="majorEastAsia" w:hAnsiTheme="majorEastAsia" w:eastAsiaTheme="majorEastAsia" w:cstheme="majorEastAsia"/>
                <w:color w:val="000000"/>
                <w:sz w:val="24"/>
                <w:szCs w:val="24"/>
                <w:lang w:val="en-US" w:eastAsia="zh-CN"/>
              </w:rPr>
            </w:pPr>
          </w:p>
        </w:tc>
        <w:tc>
          <w:tcPr>
            <w:tcW w:w="1559" w:type="dxa"/>
            <w:vAlign w:val="center"/>
          </w:tcPr>
          <w:p w14:paraId="154DC64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Theme="majorEastAsia" w:hAnsiTheme="majorEastAsia" w:eastAsiaTheme="majorEastAsia" w:cstheme="majorEastAsia"/>
                <w:color w:val="000000"/>
                <w:sz w:val="24"/>
                <w:szCs w:val="24"/>
                <w:lang w:val="en-US" w:eastAsia="zh-CN"/>
              </w:rPr>
            </w:pPr>
          </w:p>
        </w:tc>
        <w:tc>
          <w:tcPr>
            <w:tcW w:w="1843" w:type="dxa"/>
            <w:vAlign w:val="center"/>
          </w:tcPr>
          <w:p w14:paraId="75D9292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Theme="majorEastAsia" w:hAnsiTheme="majorEastAsia" w:eastAsiaTheme="majorEastAsia" w:cstheme="majorEastAsia"/>
                <w:color w:val="000000"/>
                <w:sz w:val="24"/>
                <w:szCs w:val="24"/>
                <w:lang w:val="en-US" w:eastAsia="zh-CN"/>
              </w:rPr>
            </w:pPr>
          </w:p>
        </w:tc>
      </w:tr>
      <w:tr w14:paraId="00824B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2" w:hRule="atLeast"/>
        </w:trPr>
        <w:tc>
          <w:tcPr>
            <w:tcW w:w="908" w:type="dxa"/>
            <w:vAlign w:val="center"/>
          </w:tcPr>
          <w:p w14:paraId="268020F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Theme="majorEastAsia" w:hAnsiTheme="majorEastAsia" w:eastAsiaTheme="majorEastAsia" w:cstheme="majorEastAsia"/>
                <w:color w:val="000000"/>
                <w:sz w:val="24"/>
                <w:szCs w:val="24"/>
                <w:lang w:val="en-US" w:eastAsia="zh-CN"/>
              </w:rPr>
            </w:pPr>
          </w:p>
        </w:tc>
        <w:tc>
          <w:tcPr>
            <w:tcW w:w="1219" w:type="dxa"/>
            <w:shd w:val="clear" w:color="auto" w:fill="auto"/>
            <w:vAlign w:val="center"/>
          </w:tcPr>
          <w:p w14:paraId="35144FF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Theme="majorEastAsia" w:hAnsiTheme="majorEastAsia" w:eastAsiaTheme="majorEastAsia" w:cstheme="majorEastAsia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709" w:type="dxa"/>
            <w:vAlign w:val="center"/>
          </w:tcPr>
          <w:p w14:paraId="5E528E2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Theme="majorEastAsia" w:hAnsiTheme="majorEastAsia" w:eastAsiaTheme="majorEastAsia" w:cstheme="majorEastAsia"/>
                <w:color w:val="000000"/>
                <w:sz w:val="24"/>
                <w:szCs w:val="24"/>
                <w:lang w:val="en-US" w:eastAsia="zh-CN"/>
              </w:rPr>
            </w:pPr>
          </w:p>
        </w:tc>
        <w:tc>
          <w:tcPr>
            <w:tcW w:w="1559" w:type="dxa"/>
            <w:vAlign w:val="center"/>
          </w:tcPr>
          <w:p w14:paraId="6D95D2C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Theme="majorEastAsia" w:hAnsiTheme="majorEastAsia" w:eastAsiaTheme="majorEastAsia" w:cstheme="majorEastAsia"/>
                <w:color w:val="000000"/>
                <w:sz w:val="24"/>
                <w:szCs w:val="24"/>
              </w:rPr>
            </w:pPr>
          </w:p>
        </w:tc>
        <w:tc>
          <w:tcPr>
            <w:tcW w:w="893" w:type="dxa"/>
            <w:vAlign w:val="center"/>
          </w:tcPr>
          <w:p w14:paraId="767C9D2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Theme="majorEastAsia" w:hAnsiTheme="majorEastAsia" w:eastAsiaTheme="majorEastAsia" w:cstheme="majorEastAsia"/>
                <w:color w:val="000000"/>
                <w:sz w:val="24"/>
                <w:szCs w:val="24"/>
              </w:rPr>
            </w:pPr>
          </w:p>
        </w:tc>
        <w:tc>
          <w:tcPr>
            <w:tcW w:w="1234" w:type="dxa"/>
            <w:vAlign w:val="center"/>
          </w:tcPr>
          <w:p w14:paraId="6F420B7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Theme="majorEastAsia" w:hAnsiTheme="majorEastAsia" w:eastAsiaTheme="majorEastAsia" w:cstheme="majorEastAsia"/>
                <w:color w:val="000000"/>
                <w:sz w:val="24"/>
                <w:szCs w:val="24"/>
                <w:lang w:val="en-US" w:eastAsia="zh-CN"/>
              </w:rPr>
            </w:pPr>
          </w:p>
        </w:tc>
        <w:tc>
          <w:tcPr>
            <w:tcW w:w="1559" w:type="dxa"/>
            <w:vAlign w:val="center"/>
          </w:tcPr>
          <w:p w14:paraId="4EF97B1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Theme="majorEastAsia" w:hAnsiTheme="majorEastAsia" w:eastAsiaTheme="majorEastAsia" w:cstheme="majorEastAsia"/>
                <w:color w:val="000000"/>
                <w:sz w:val="24"/>
                <w:szCs w:val="24"/>
                <w:lang w:val="en-US" w:eastAsia="zh-CN"/>
              </w:rPr>
            </w:pPr>
          </w:p>
        </w:tc>
        <w:tc>
          <w:tcPr>
            <w:tcW w:w="1843" w:type="dxa"/>
            <w:vAlign w:val="center"/>
          </w:tcPr>
          <w:p w14:paraId="18852B1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Theme="majorEastAsia" w:hAnsiTheme="majorEastAsia" w:eastAsiaTheme="majorEastAsia" w:cstheme="majorEastAsia"/>
                <w:color w:val="000000"/>
                <w:sz w:val="24"/>
                <w:szCs w:val="24"/>
                <w:lang w:val="en-US" w:eastAsia="zh-CN"/>
              </w:rPr>
            </w:pPr>
          </w:p>
        </w:tc>
      </w:tr>
      <w:tr w14:paraId="416DE0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7" w:hRule="atLeast"/>
        </w:trPr>
        <w:tc>
          <w:tcPr>
            <w:tcW w:w="2127" w:type="dxa"/>
            <w:gridSpan w:val="2"/>
            <w:vAlign w:val="center"/>
          </w:tcPr>
          <w:p w14:paraId="048F561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Theme="majorEastAsia" w:hAnsiTheme="majorEastAsia" w:eastAsiaTheme="majorEastAsia" w:cstheme="majorEastAsia"/>
                <w:color w:val="00000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sz w:val="24"/>
                <w:szCs w:val="24"/>
              </w:rPr>
              <w:t>合</w:t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sz w:val="24"/>
                <w:szCs w:val="24"/>
                <w:lang w:val="en-US" w:eastAsia="zh-CN"/>
              </w:rPr>
              <w:t xml:space="preserve">   </w:t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sz w:val="24"/>
                <w:szCs w:val="24"/>
              </w:rPr>
              <w:t>计</w:t>
            </w:r>
          </w:p>
        </w:tc>
        <w:tc>
          <w:tcPr>
            <w:tcW w:w="709" w:type="dxa"/>
            <w:vAlign w:val="center"/>
          </w:tcPr>
          <w:p w14:paraId="40BBCBD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Theme="majorEastAsia" w:hAnsiTheme="majorEastAsia" w:eastAsiaTheme="majorEastAsia" w:cstheme="majorEastAsia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5C85A98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Theme="majorEastAsia" w:hAnsiTheme="majorEastAsia" w:eastAsiaTheme="majorEastAsia" w:cstheme="majorEastAsia"/>
                <w:color w:val="000000"/>
                <w:sz w:val="24"/>
                <w:szCs w:val="24"/>
              </w:rPr>
            </w:pPr>
          </w:p>
        </w:tc>
        <w:tc>
          <w:tcPr>
            <w:tcW w:w="893" w:type="dxa"/>
            <w:vAlign w:val="center"/>
          </w:tcPr>
          <w:p w14:paraId="344D16A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Theme="majorEastAsia" w:hAnsiTheme="majorEastAsia" w:eastAsiaTheme="majorEastAsia" w:cstheme="majorEastAsia"/>
                <w:color w:val="000000"/>
                <w:sz w:val="24"/>
                <w:szCs w:val="24"/>
              </w:rPr>
            </w:pPr>
          </w:p>
        </w:tc>
        <w:tc>
          <w:tcPr>
            <w:tcW w:w="1234" w:type="dxa"/>
            <w:vAlign w:val="center"/>
          </w:tcPr>
          <w:p w14:paraId="54E47DC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Theme="majorEastAsia" w:hAnsiTheme="majorEastAsia" w:eastAsiaTheme="majorEastAsia" w:cstheme="majorEastAsia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559" w:type="dxa"/>
            <w:vAlign w:val="center"/>
          </w:tcPr>
          <w:p w14:paraId="68C72E6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Theme="majorEastAsia" w:hAnsiTheme="majorEastAsia" w:eastAsiaTheme="majorEastAsia" w:cstheme="majorEastAsia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843" w:type="dxa"/>
            <w:vAlign w:val="center"/>
          </w:tcPr>
          <w:p w14:paraId="7E2BF06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Theme="majorEastAsia" w:hAnsiTheme="majorEastAsia" w:eastAsiaTheme="majorEastAsia" w:cstheme="majorEastAsia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1B884D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7" w:hRule="atLeast"/>
        </w:trPr>
        <w:tc>
          <w:tcPr>
            <w:tcW w:w="9924" w:type="dxa"/>
            <w:gridSpan w:val="8"/>
            <w:vAlign w:val="center"/>
          </w:tcPr>
          <w:p w14:paraId="2CA804A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default" w:asciiTheme="majorEastAsia" w:hAnsiTheme="majorEastAsia" w:eastAsiaTheme="majorEastAsia" w:cstheme="majorEastAsi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sz w:val="24"/>
                <w:szCs w:val="24"/>
              </w:rPr>
              <w:t>合计人民币金额（大写）：</w:t>
            </w:r>
          </w:p>
        </w:tc>
      </w:tr>
    </w:tbl>
    <w:tbl>
      <w:tblPr>
        <w:tblStyle w:val="3"/>
        <w:tblpPr w:leftFromText="180" w:rightFromText="180" w:vertAnchor="text" w:tblpX="10541" w:tblpY="-2324"/>
        <w:tblOverlap w:val="never"/>
        <w:tblW w:w="267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73"/>
      </w:tblGrid>
      <w:tr w14:paraId="72C3A6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" w:hRule="atLeast"/>
        </w:trPr>
        <w:tc>
          <w:tcPr>
            <w:tcW w:w="2673" w:type="dxa"/>
          </w:tcPr>
          <w:p w14:paraId="670870DE">
            <w:pPr>
              <w:keepNext w:val="0"/>
              <w:keepLines w:val="0"/>
              <w:suppressLineNumbers w:val="0"/>
              <w:spacing w:before="0" w:beforeAutospacing="0" w:after="0" w:afterAutospacing="0" w:line="360" w:lineRule="exact"/>
              <w:ind w:left="0" w:right="0"/>
              <w:rPr>
                <w:rFonts w:hint="eastAsia" w:asciiTheme="majorEastAsia" w:hAnsiTheme="majorEastAsia" w:eastAsiaTheme="majorEastAsia" w:cstheme="majorEastAsia"/>
                <w:color w:val="000000"/>
                <w:sz w:val="24"/>
                <w:szCs w:val="24"/>
              </w:rPr>
            </w:pPr>
          </w:p>
        </w:tc>
      </w:tr>
      <w:tr w14:paraId="1BA078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" w:hRule="atLeast"/>
        </w:trPr>
        <w:tc>
          <w:tcPr>
            <w:tcW w:w="2673" w:type="dxa"/>
          </w:tcPr>
          <w:p w14:paraId="458DDE23">
            <w:pPr>
              <w:keepNext w:val="0"/>
              <w:keepLines w:val="0"/>
              <w:suppressLineNumbers w:val="0"/>
              <w:spacing w:before="0" w:beforeAutospacing="0" w:after="0" w:afterAutospacing="0" w:line="360" w:lineRule="exact"/>
              <w:ind w:left="0" w:right="0"/>
              <w:rPr>
                <w:rFonts w:hint="eastAsia" w:asciiTheme="majorEastAsia" w:hAnsiTheme="majorEastAsia" w:eastAsiaTheme="majorEastAsia" w:cstheme="majorEastAsia"/>
                <w:color w:val="000000"/>
                <w:sz w:val="24"/>
                <w:szCs w:val="24"/>
              </w:rPr>
            </w:pPr>
          </w:p>
        </w:tc>
      </w:tr>
    </w:tbl>
    <w:p w14:paraId="564A240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480" w:firstLineChars="200"/>
        <w:textAlignment w:val="auto"/>
        <w:rPr>
          <w:rFonts w:hint="eastAsia" w:asciiTheme="majorEastAsia" w:hAnsiTheme="majorEastAsia" w:eastAsiaTheme="majorEastAsia" w:cstheme="majorEastAsia"/>
          <w:color w:val="000000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</w:rPr>
        <w:t>二、质量标准：参照浙江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lang w:val="en-US" w:eastAsia="zh-CN"/>
        </w:rPr>
        <w:t>华才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</w:rPr>
        <w:t>检测有限公司提供的质检报告（详见拍卖公告），具体质量标准以仓库实物为准，竞价成功后即视作乙方对</w:t>
      </w:r>
      <w:bookmarkStart w:id="0" w:name="_GoBack"/>
      <w:bookmarkEnd w:id="0"/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</w:rPr>
        <w:t>该批粮食质量无异议。</w:t>
      </w:r>
    </w:p>
    <w:p w14:paraId="18B2DFCF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right="0" w:firstLine="480" w:firstLineChars="200"/>
        <w:jc w:val="both"/>
        <w:textAlignment w:val="auto"/>
        <w:rPr>
          <w:rFonts w:hint="eastAsia" w:asciiTheme="majorEastAsia" w:hAnsiTheme="majorEastAsia" w:eastAsiaTheme="majorEastAsia" w:cstheme="majorEastAsia"/>
          <w:sz w:val="24"/>
          <w:szCs w:val="24"/>
          <w:lang w:val="en-US"/>
        </w:rPr>
      </w:pP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</w:rPr>
        <w:t>三、交提货时间：款到发货，</w:t>
      </w:r>
      <w:r>
        <w:rPr>
          <w:rFonts w:hint="eastAsia" w:asciiTheme="majorEastAsia" w:hAnsiTheme="majorEastAsia" w:eastAsiaTheme="majorEastAsia" w:cstheme="majorEastAsia"/>
          <w:b/>
          <w:bCs/>
          <w:color w:val="000000"/>
          <w:sz w:val="24"/>
          <w:szCs w:val="24"/>
        </w:rPr>
        <w:t>合同签订后至202</w:t>
      </w:r>
      <w:r>
        <w:rPr>
          <w:rFonts w:hint="eastAsia" w:asciiTheme="majorEastAsia" w:hAnsiTheme="majorEastAsia" w:eastAsiaTheme="majorEastAsia" w:cstheme="majorEastAsia"/>
          <w:b/>
          <w:bCs/>
          <w:color w:val="000000"/>
          <w:sz w:val="24"/>
          <w:szCs w:val="24"/>
          <w:lang w:val="en-US" w:eastAsia="zh-CN"/>
        </w:rPr>
        <w:t>5</w:t>
      </w:r>
      <w:r>
        <w:rPr>
          <w:rFonts w:hint="eastAsia" w:asciiTheme="majorEastAsia" w:hAnsiTheme="majorEastAsia" w:eastAsiaTheme="majorEastAsia" w:cstheme="majorEastAsia"/>
          <w:b/>
          <w:bCs/>
          <w:color w:val="000000"/>
          <w:sz w:val="24"/>
          <w:szCs w:val="24"/>
        </w:rPr>
        <w:t>年</w:t>
      </w:r>
      <w:r>
        <w:rPr>
          <w:rFonts w:hint="eastAsia" w:asciiTheme="majorEastAsia" w:hAnsiTheme="majorEastAsia" w:eastAsiaTheme="majorEastAsia" w:cstheme="majorEastAsia"/>
          <w:b/>
          <w:bCs/>
          <w:color w:val="000000"/>
          <w:sz w:val="24"/>
          <w:szCs w:val="24"/>
          <w:lang w:val="en-US" w:eastAsia="zh-CN"/>
        </w:rPr>
        <w:t>12</w:t>
      </w:r>
      <w:r>
        <w:rPr>
          <w:rFonts w:hint="eastAsia" w:asciiTheme="majorEastAsia" w:hAnsiTheme="majorEastAsia" w:eastAsiaTheme="majorEastAsia" w:cstheme="majorEastAsia"/>
          <w:b/>
          <w:bCs/>
          <w:color w:val="000000"/>
          <w:sz w:val="24"/>
          <w:szCs w:val="24"/>
        </w:rPr>
        <w:t>月</w:t>
      </w:r>
      <w:r>
        <w:rPr>
          <w:rFonts w:hint="eastAsia" w:asciiTheme="majorEastAsia" w:hAnsiTheme="majorEastAsia" w:eastAsiaTheme="majorEastAsia" w:cstheme="majorEastAsia"/>
          <w:b/>
          <w:bCs/>
          <w:color w:val="000000"/>
          <w:sz w:val="24"/>
          <w:szCs w:val="24"/>
          <w:lang w:val="en-US" w:eastAsia="zh-CN"/>
        </w:rPr>
        <w:t>5</w:t>
      </w:r>
      <w:r>
        <w:rPr>
          <w:rFonts w:hint="eastAsia" w:asciiTheme="majorEastAsia" w:hAnsiTheme="majorEastAsia" w:eastAsiaTheme="majorEastAsia" w:cstheme="majorEastAsia"/>
          <w:b/>
          <w:bCs/>
          <w:color w:val="000000"/>
          <w:sz w:val="24"/>
          <w:szCs w:val="24"/>
        </w:rPr>
        <w:t>日前提货完毕。</w:t>
      </w:r>
      <w:r>
        <w:rPr>
          <w:rFonts w:hint="eastAsia" w:asciiTheme="majorEastAsia" w:hAnsiTheme="majorEastAsia" w:eastAsiaTheme="majorEastAsia" w:cstheme="majorEastAsia"/>
          <w:color w:val="000000"/>
          <w:kern w:val="0"/>
          <w:sz w:val="24"/>
          <w:szCs w:val="24"/>
          <w:lang w:val="en-US" w:eastAsia="zh-CN" w:bidi="ar"/>
        </w:rPr>
        <w:t>在</w:t>
      </w:r>
      <w:r>
        <w:rPr>
          <w:rFonts w:hint="eastAsia" w:asciiTheme="majorEastAsia" w:hAnsiTheme="majorEastAsia" w:eastAsiaTheme="majorEastAsia" w:cstheme="majorEastAsia"/>
          <w:kern w:val="2"/>
          <w:sz w:val="24"/>
          <w:szCs w:val="24"/>
          <w:lang w:val="en-US" w:eastAsia="zh-CN" w:bidi="ar"/>
        </w:rPr>
        <w:t>不影响存储单位仓库使用前提下，因乙方原因未在约定时间内将粮食提清的，乙</w:t>
      </w:r>
      <w:r>
        <w:rPr>
          <w:rFonts w:hint="eastAsia" w:asciiTheme="majorEastAsia" w:hAnsiTheme="majorEastAsia" w:eastAsiaTheme="majorEastAsia" w:cstheme="majorEastAsia"/>
          <w:color w:val="000000"/>
          <w:kern w:val="2"/>
          <w:sz w:val="24"/>
          <w:szCs w:val="24"/>
          <w:lang w:val="en-US" w:eastAsia="zh-CN" w:bidi="ar"/>
        </w:rPr>
        <w:t>方自行承担逾期未提清标的物可能发生的变质、损毁、灭失、超保质期等一切责任、费用和损失。储存交割库点向乙方按0.5元/日·吨收取仓房（货位）占用费（按标段数量结算，若标段内包含多个独立货位，按货位约定数量结算）。</w:t>
      </w:r>
    </w:p>
    <w:p w14:paraId="79EE3C21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right="0" w:firstLine="480" w:firstLineChars="200"/>
        <w:jc w:val="both"/>
        <w:textAlignment w:val="auto"/>
        <w:rPr>
          <w:rFonts w:hint="eastAsia" w:asciiTheme="majorEastAsia" w:hAnsiTheme="majorEastAsia" w:eastAsiaTheme="majorEastAsia" w:cstheme="majorEastAsia"/>
          <w:color w:val="FF0000"/>
          <w:sz w:val="24"/>
          <w:szCs w:val="24"/>
          <w:lang w:val="en-US"/>
        </w:rPr>
      </w:pPr>
      <w:r>
        <w:rPr>
          <w:rFonts w:hint="eastAsia" w:asciiTheme="majorEastAsia" w:hAnsiTheme="majorEastAsia" w:eastAsiaTheme="majorEastAsia" w:cstheme="majorEastAsia"/>
          <w:color w:val="FF0000"/>
          <w:kern w:val="2"/>
          <w:sz w:val="24"/>
          <w:szCs w:val="24"/>
          <w:lang w:val="en-US" w:eastAsia="zh-CN" w:bidi="ar"/>
        </w:rPr>
        <w:t>（2）</w:t>
      </w:r>
      <w:r>
        <w:rPr>
          <w:rFonts w:hint="eastAsia" w:asciiTheme="majorEastAsia" w:hAnsiTheme="majorEastAsia" w:eastAsiaTheme="majorEastAsia" w:cstheme="majorEastAsia"/>
          <w:b/>
          <w:bCs w:val="0"/>
          <w:color w:val="FF0000"/>
          <w:kern w:val="2"/>
          <w:sz w:val="24"/>
          <w:szCs w:val="24"/>
          <w:lang w:val="en-US" w:eastAsia="zh-CN" w:bidi="ar"/>
        </w:rPr>
        <w:t>若乙方逾期提货超过5个自然日</w:t>
      </w:r>
      <w:r>
        <w:rPr>
          <w:rFonts w:hint="eastAsia" w:asciiTheme="majorEastAsia" w:hAnsiTheme="majorEastAsia" w:eastAsiaTheme="majorEastAsia" w:cstheme="majorEastAsia"/>
          <w:color w:val="FF0000"/>
          <w:kern w:val="2"/>
          <w:sz w:val="24"/>
          <w:szCs w:val="24"/>
          <w:lang w:val="en-US" w:eastAsia="zh-CN" w:bidi="ar"/>
        </w:rPr>
        <w:t>，储存交割库点向乙方按1.0元/日·吨收取仓房（货位）占用费（按标段数量结算，若标段内包含多个独立货位，按货位约定数量结算）；甲方有权对未提清标的物进行移库或判定竞得方违约，由此产生的一切责任、费用和损失均由乙方承担。</w:t>
      </w:r>
    </w:p>
    <w:p w14:paraId="4814052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480" w:firstLineChars="200"/>
        <w:textAlignment w:val="auto"/>
        <w:rPr>
          <w:rFonts w:hint="eastAsia" w:asciiTheme="majorEastAsia" w:hAnsiTheme="majorEastAsia" w:eastAsiaTheme="majorEastAsia" w:cstheme="majorEastAsia"/>
          <w:color w:val="000000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</w:rPr>
        <w:t>四、交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lang w:eastAsia="zh-CN"/>
        </w:rPr>
        <w:t>货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</w:rPr>
        <w:t>地点：安吉县粮食收储有限公司中心粮库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lang w:val="en-US" w:eastAsia="zh-CN"/>
        </w:rPr>
        <w:t>3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</w:rPr>
        <w:t>号仓。提货联系人：杨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lang w:eastAsia="zh-CN"/>
        </w:rPr>
        <w:t>科长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</w:rPr>
        <w:t xml:space="preserve">0572-5109491、手机13325825123。                                                                                                                                                           </w:t>
      </w:r>
    </w:p>
    <w:p w14:paraId="72997F5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480" w:firstLineChars="200"/>
        <w:textAlignment w:val="auto"/>
        <w:rPr>
          <w:rFonts w:hint="eastAsia" w:asciiTheme="majorEastAsia" w:hAnsiTheme="majorEastAsia" w:eastAsiaTheme="majorEastAsia" w:cstheme="majorEastAsia"/>
          <w:color w:val="000000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</w:rPr>
        <w:t>五、交（提）货方式和费用负担：安吉县粮食收储有限公司中心粮库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lang w:val="en-US" w:eastAsia="zh-CN"/>
        </w:rPr>
        <w:t>3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</w:rPr>
        <w:t>号仓车板交货，散粮运输。车板前费用由甲方承担，车板后费用由乙方承担。</w:t>
      </w:r>
    </w:p>
    <w:p w14:paraId="4221CEE6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right="0" w:firstLine="480" w:firstLineChars="200"/>
        <w:jc w:val="both"/>
        <w:textAlignment w:val="auto"/>
        <w:rPr>
          <w:rFonts w:hint="eastAsia" w:asciiTheme="majorEastAsia" w:hAnsiTheme="majorEastAsia" w:eastAsiaTheme="majorEastAsia" w:cstheme="majorEastAsia"/>
          <w:color w:val="000000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lang w:eastAsia="zh-CN"/>
        </w:rPr>
        <w:t>六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</w:rPr>
        <w:t>、货款结算方式及期限：带款提货，自行结算，</w:t>
      </w:r>
      <w:r>
        <w:rPr>
          <w:rFonts w:hint="eastAsia" w:asciiTheme="majorEastAsia" w:hAnsiTheme="majorEastAsia" w:eastAsiaTheme="majorEastAsia" w:cstheme="majorEastAsia"/>
          <w:b/>
          <w:color w:val="000000"/>
          <w:sz w:val="24"/>
          <w:szCs w:val="24"/>
        </w:rPr>
        <w:t>202</w:t>
      </w:r>
      <w:r>
        <w:rPr>
          <w:rFonts w:hint="eastAsia" w:asciiTheme="majorEastAsia" w:hAnsiTheme="majorEastAsia" w:eastAsiaTheme="majorEastAsia" w:cstheme="majorEastAsia"/>
          <w:b/>
          <w:color w:val="000000"/>
          <w:sz w:val="24"/>
          <w:szCs w:val="24"/>
          <w:lang w:val="en-US" w:eastAsia="zh-CN"/>
        </w:rPr>
        <w:t>5</w:t>
      </w:r>
      <w:r>
        <w:rPr>
          <w:rFonts w:hint="eastAsia" w:asciiTheme="majorEastAsia" w:hAnsiTheme="majorEastAsia" w:eastAsiaTheme="majorEastAsia" w:cstheme="majorEastAsia"/>
          <w:b/>
          <w:color w:val="000000"/>
          <w:sz w:val="24"/>
          <w:szCs w:val="24"/>
        </w:rPr>
        <w:t>年</w:t>
      </w:r>
      <w:r>
        <w:rPr>
          <w:rFonts w:hint="eastAsia" w:asciiTheme="majorEastAsia" w:hAnsiTheme="majorEastAsia" w:eastAsiaTheme="majorEastAsia" w:cstheme="majorEastAsia"/>
          <w:b/>
          <w:color w:val="000000"/>
          <w:sz w:val="24"/>
          <w:szCs w:val="24"/>
          <w:lang w:val="en-US" w:eastAsia="zh-CN"/>
        </w:rPr>
        <w:t>11</w:t>
      </w:r>
      <w:r>
        <w:rPr>
          <w:rFonts w:hint="eastAsia" w:asciiTheme="majorEastAsia" w:hAnsiTheme="majorEastAsia" w:eastAsiaTheme="majorEastAsia" w:cstheme="majorEastAsia"/>
          <w:b/>
          <w:color w:val="000000"/>
          <w:sz w:val="24"/>
          <w:szCs w:val="24"/>
        </w:rPr>
        <w:t>月</w:t>
      </w:r>
      <w:r>
        <w:rPr>
          <w:rFonts w:hint="eastAsia" w:asciiTheme="majorEastAsia" w:hAnsiTheme="majorEastAsia" w:eastAsiaTheme="majorEastAsia" w:cstheme="majorEastAsia"/>
          <w:b/>
          <w:color w:val="000000"/>
          <w:sz w:val="24"/>
          <w:szCs w:val="24"/>
          <w:lang w:val="en-US" w:eastAsia="zh-CN"/>
        </w:rPr>
        <w:t>30</w:t>
      </w:r>
      <w:r>
        <w:rPr>
          <w:rFonts w:hint="eastAsia" w:asciiTheme="majorEastAsia" w:hAnsiTheme="majorEastAsia" w:eastAsiaTheme="majorEastAsia" w:cstheme="majorEastAsia"/>
          <w:b/>
          <w:color w:val="000000"/>
          <w:sz w:val="24"/>
          <w:szCs w:val="24"/>
        </w:rPr>
        <w:t>日前付清所有货款</w:t>
      </w:r>
      <w:r>
        <w:rPr>
          <w:rFonts w:hint="eastAsia" w:asciiTheme="majorEastAsia" w:hAnsiTheme="majorEastAsia" w:eastAsiaTheme="majorEastAsia" w:cstheme="majorEastAsia"/>
          <w:snapToGrid w:val="0"/>
          <w:color w:val="000000"/>
          <w:kern w:val="18"/>
          <w:sz w:val="24"/>
          <w:szCs w:val="24"/>
        </w:rPr>
        <w:t>。</w:t>
      </w: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ar"/>
        </w:rPr>
        <w:t>若乙方未按期付清货款，委托方对未付清部分收取滞纳金，收取标准为每日万分之二。</w:t>
      </w:r>
      <w:r>
        <w:rPr>
          <w:rFonts w:hint="eastAsia" w:ascii="宋体" w:hAnsi="宋体" w:eastAsia="宋体" w:cs="宋体"/>
          <w:b/>
          <w:bCs w:val="0"/>
          <w:color w:val="FF0000"/>
          <w:kern w:val="2"/>
          <w:sz w:val="24"/>
          <w:szCs w:val="24"/>
          <w:lang w:val="en-US" w:eastAsia="zh-CN" w:bidi="ar"/>
        </w:rPr>
        <w:t>若乙方延期付款超过3个自然日，违约处理</w:t>
      </w: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ar"/>
        </w:rPr>
        <w:t>，并以公开竞价销售方式处置标的物，由此产生的一切责任、费用和损失均由乙方承担（乙方缴存于国家粮食浙江交易中心的保证金作为违约金赔付给甲方；若违约造成的费用和损失超出保证金的，乙方还应对超出部分进行赔偿）。</w:t>
      </w:r>
    </w:p>
    <w:p w14:paraId="479F726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480" w:firstLineChars="200"/>
        <w:textAlignment w:val="auto"/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shd w:val="clear" w:color="auto" w:fill="FFFFFF"/>
        </w:rPr>
      </w:pPr>
      <w:r>
        <w:rPr>
          <w:rFonts w:hint="eastAsia" w:asciiTheme="majorEastAsia" w:hAnsiTheme="majorEastAsia" w:eastAsiaTheme="majorEastAsia" w:cstheme="majorEastAsia"/>
          <w:b w:val="0"/>
          <w:bCs/>
          <w:color w:val="000000"/>
          <w:sz w:val="24"/>
          <w:szCs w:val="24"/>
          <w:lang w:eastAsia="zh-CN"/>
        </w:rPr>
        <w:t>七</w:t>
      </w:r>
      <w:r>
        <w:rPr>
          <w:rFonts w:hint="eastAsia" w:asciiTheme="majorEastAsia" w:hAnsiTheme="majorEastAsia" w:eastAsiaTheme="majorEastAsia" w:cstheme="majorEastAsia"/>
          <w:b w:val="0"/>
          <w:bCs/>
          <w:color w:val="000000"/>
          <w:sz w:val="24"/>
          <w:szCs w:val="24"/>
        </w:rPr>
        <w:t>、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shd w:val="clear" w:color="auto" w:fill="FFFFFF"/>
        </w:rPr>
        <w:t>本次交易地产稻谷为重金属超标饲料用途，质量以实地看样为准。成交客户需按国家相关规定进行处理，该批粮食严禁用作食品原料，仅限用作加工生产饲料;成交客户必须签署承诺书，承诺所购买重金属超标稻谷仅限于本企业加工生产，不转卖倒卖，不在其他企业（单位）代储、代加工，不改变用途，不加工成口粮销售。</w:t>
      </w:r>
    </w:p>
    <w:p w14:paraId="6AA8B0C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480" w:firstLineChars="200"/>
        <w:textAlignment w:val="auto"/>
        <w:rPr>
          <w:rFonts w:hint="eastAsia" w:asciiTheme="majorEastAsia" w:hAnsiTheme="majorEastAsia" w:eastAsiaTheme="majorEastAsia" w:cstheme="majorEastAsia"/>
          <w:color w:val="000000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shd w:val="clear" w:color="auto" w:fill="FFFFFF"/>
          <w:lang w:eastAsia="zh-CN"/>
        </w:rPr>
        <w:t>八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</w:rPr>
        <w:t>、乙方购买饲料稻谷须在当地监管部门备案，若后期出现任何食品安全等问题，由乙方承担一切法律责任。</w:t>
      </w:r>
    </w:p>
    <w:p w14:paraId="486E982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480" w:firstLineChars="200"/>
        <w:textAlignment w:val="auto"/>
        <w:rPr>
          <w:rFonts w:hint="eastAsia" w:asciiTheme="majorEastAsia" w:hAnsiTheme="majorEastAsia" w:eastAsiaTheme="majorEastAsia" w:cstheme="majorEastAsia"/>
          <w:color w:val="000000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lang w:eastAsia="zh-CN"/>
        </w:rPr>
        <w:t>九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</w:rPr>
        <w:t xml:space="preserve">、根据上级要求，本批次饲料用晚籼谷列入定向销售业务管理试点，在“浙政粮安-定向销售粮食运输”数字化应用系统上线试运行。                                                                                                                  </w:t>
      </w:r>
    </w:p>
    <w:p w14:paraId="5E7FD37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480" w:firstLineChars="200"/>
        <w:textAlignment w:val="auto"/>
        <w:rPr>
          <w:rFonts w:hint="eastAsia" w:asciiTheme="majorEastAsia" w:hAnsiTheme="majorEastAsia" w:eastAsiaTheme="majorEastAsia" w:cstheme="majorEastAsia"/>
          <w:color w:val="000000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</w:rPr>
        <w:t>十、违约责任：按《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lang w:eastAsia="zh-CN"/>
        </w:rPr>
        <w:t>民法典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</w:rPr>
        <w:t>》和交易公告中的违约责任办理。</w:t>
      </w:r>
    </w:p>
    <w:p w14:paraId="32CECFC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480" w:firstLineChars="200"/>
        <w:textAlignment w:val="auto"/>
        <w:rPr>
          <w:rFonts w:hint="eastAsia" w:asciiTheme="majorEastAsia" w:hAnsiTheme="majorEastAsia" w:eastAsiaTheme="majorEastAsia" w:cstheme="majorEastAsia"/>
          <w:color w:val="000000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</w:rPr>
        <w:t>十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lang w:eastAsia="zh-CN"/>
        </w:rPr>
        <w:t>一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</w:rPr>
        <w:t>、解决合同纠纷的方式：按《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lang w:eastAsia="zh-CN"/>
        </w:rPr>
        <w:t>民法典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</w:rPr>
        <w:t xml:space="preserve">》双方友好协商解决。                                          </w:t>
      </w:r>
    </w:p>
    <w:p w14:paraId="50E975F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480" w:firstLineChars="200"/>
        <w:textAlignment w:val="auto"/>
        <w:rPr>
          <w:rFonts w:hint="eastAsia" w:asciiTheme="majorEastAsia" w:hAnsiTheme="majorEastAsia" w:eastAsiaTheme="majorEastAsia" w:cstheme="majorEastAsia"/>
          <w:sz w:val="24"/>
          <w:szCs w:val="24"/>
          <w:u w:val="single"/>
        </w:rPr>
      </w:pP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</w:rPr>
        <w:t>十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lang w:eastAsia="zh-CN"/>
        </w:rPr>
        <w:t>二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</w:rPr>
        <w:t>、本合同一式两份，自双方签字盖章起生效，传真件有效。</w:t>
      </w:r>
    </w:p>
    <w:tbl>
      <w:tblPr>
        <w:tblStyle w:val="3"/>
        <w:tblW w:w="913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33"/>
        <w:gridCol w:w="4606"/>
      </w:tblGrid>
      <w:tr w14:paraId="43B06D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7" w:hRule="atLeast"/>
          <w:jc w:val="center"/>
        </w:trPr>
        <w:tc>
          <w:tcPr>
            <w:tcW w:w="4533" w:type="dxa"/>
          </w:tcPr>
          <w:p w14:paraId="00968A43">
            <w:pPr>
              <w:keepNext w:val="0"/>
              <w:keepLines w:val="0"/>
              <w:suppressLineNumbers w:val="0"/>
              <w:spacing w:before="0" w:beforeAutospacing="0" w:after="0" w:afterAutospacing="0" w:line="380" w:lineRule="exact"/>
              <w:ind w:left="0" w:right="0"/>
              <w:jc w:val="center"/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lang w:eastAsia="zh-CN"/>
              </w:rPr>
              <w:t>甲</w:t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　       方</w:t>
            </w:r>
          </w:p>
          <w:p w14:paraId="6A919CFC">
            <w:pPr>
              <w:keepNext w:val="0"/>
              <w:keepLines w:val="0"/>
              <w:suppressLineNumbers w:val="0"/>
              <w:spacing w:before="0" w:beforeAutospacing="0" w:after="0" w:afterAutospacing="0" w:line="380" w:lineRule="exact"/>
              <w:ind w:left="0" w:right="0"/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单位名称：安吉县粮食收储有限公司</w:t>
            </w:r>
          </w:p>
          <w:p w14:paraId="527B0B4D">
            <w:pPr>
              <w:keepNext w:val="0"/>
              <w:keepLines w:val="0"/>
              <w:suppressLineNumbers w:val="0"/>
              <w:spacing w:before="0" w:beforeAutospacing="0" w:after="0" w:afterAutospacing="0" w:line="380" w:lineRule="exact"/>
              <w:ind w:left="0" w:right="0"/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单位地址:安吉县安城马家渡</w:t>
            </w:r>
          </w:p>
          <w:p w14:paraId="0FEC45A5">
            <w:pPr>
              <w:keepNext w:val="0"/>
              <w:keepLines w:val="0"/>
              <w:suppressLineNumbers w:val="0"/>
              <w:spacing w:before="0" w:beforeAutospacing="0" w:after="0" w:afterAutospacing="0" w:line="380" w:lineRule="exact"/>
              <w:ind w:left="0" w:right="0"/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法定代表人：</w:t>
            </w:r>
          </w:p>
          <w:p w14:paraId="32444203">
            <w:pPr>
              <w:keepNext w:val="0"/>
              <w:keepLines w:val="0"/>
              <w:suppressLineNumbers w:val="0"/>
              <w:spacing w:before="0" w:beforeAutospacing="0" w:after="0" w:afterAutospacing="0" w:line="380" w:lineRule="exact"/>
              <w:ind w:left="0" w:right="0"/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委托代理人：</w:t>
            </w:r>
          </w:p>
          <w:p w14:paraId="6CE748BC">
            <w:pPr>
              <w:keepNext w:val="0"/>
              <w:keepLines w:val="0"/>
              <w:suppressLineNumbers w:val="0"/>
              <w:spacing w:before="0" w:beforeAutospacing="0" w:after="0" w:afterAutospacing="0" w:line="380" w:lineRule="exact"/>
              <w:ind w:left="0" w:right="0"/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开户银行：农发行安吉县支行</w:t>
            </w:r>
          </w:p>
          <w:p w14:paraId="3FCCF58E">
            <w:pPr>
              <w:keepNext w:val="0"/>
              <w:keepLines w:val="0"/>
              <w:suppressLineNumbers w:val="0"/>
              <w:spacing w:before="0" w:beforeAutospacing="0" w:after="0" w:afterAutospacing="0" w:line="380" w:lineRule="exact"/>
              <w:ind w:left="0" w:right="0"/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帐号：20333052300100000003251</w:t>
            </w:r>
          </w:p>
          <w:p w14:paraId="34A1D269">
            <w:pPr>
              <w:keepNext w:val="0"/>
              <w:keepLines w:val="0"/>
              <w:suppressLineNumbers w:val="0"/>
              <w:spacing w:before="0" w:beforeAutospacing="0" w:after="0" w:afterAutospacing="0" w:line="380" w:lineRule="exact"/>
              <w:ind w:left="0" w:right="0"/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电话：0572—5022396</w:t>
            </w:r>
          </w:p>
        </w:tc>
        <w:tc>
          <w:tcPr>
            <w:tcW w:w="4606" w:type="dxa"/>
          </w:tcPr>
          <w:p w14:paraId="2D504834">
            <w:pPr>
              <w:keepNext w:val="0"/>
              <w:keepLines w:val="0"/>
              <w:suppressLineNumbers w:val="0"/>
              <w:spacing w:before="0" w:beforeAutospacing="0" w:after="0" w:afterAutospacing="0" w:line="380" w:lineRule="exact"/>
              <w:ind w:left="0" w:right="0"/>
              <w:jc w:val="center"/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lang w:eastAsia="zh-CN"/>
              </w:rPr>
              <w:t>乙</w:t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　       方</w:t>
            </w:r>
          </w:p>
          <w:p w14:paraId="3796DC86">
            <w:pPr>
              <w:keepNext w:val="0"/>
              <w:keepLines w:val="0"/>
              <w:suppressLineNumbers w:val="0"/>
              <w:spacing w:before="0" w:beforeAutospacing="0" w:after="0" w:afterAutospacing="0" w:line="380" w:lineRule="exact"/>
              <w:ind w:left="1200" w:right="0" w:hanging="1200" w:hangingChars="500"/>
              <w:rPr>
                <w:rFonts w:hint="default" w:asciiTheme="majorEastAsia" w:hAnsiTheme="majorEastAsia" w:eastAsiaTheme="majorEastAsia" w:cstheme="maj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单位名称：</w:t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lang w:val="en-US" w:eastAsia="zh-CN"/>
              </w:rPr>
              <w:t xml:space="preserve"> </w:t>
            </w:r>
          </w:p>
          <w:p w14:paraId="3E5E0C19">
            <w:pPr>
              <w:keepNext w:val="0"/>
              <w:keepLines w:val="0"/>
              <w:suppressLineNumbers w:val="0"/>
              <w:spacing w:before="0" w:beforeAutospacing="0" w:after="0" w:afterAutospacing="0" w:line="380" w:lineRule="exact"/>
              <w:ind w:left="0" w:right="0"/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单位地址:</w:t>
            </w:r>
          </w:p>
          <w:p w14:paraId="18841EC4">
            <w:pPr>
              <w:keepNext w:val="0"/>
              <w:keepLines w:val="0"/>
              <w:suppressLineNumbers w:val="0"/>
              <w:spacing w:before="0" w:beforeAutospacing="0" w:after="0" w:afterAutospacing="0" w:line="380" w:lineRule="exact"/>
              <w:ind w:left="0" w:right="0"/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法定代表人：</w:t>
            </w:r>
          </w:p>
          <w:p w14:paraId="260F1728">
            <w:pPr>
              <w:keepNext w:val="0"/>
              <w:keepLines w:val="0"/>
              <w:suppressLineNumbers w:val="0"/>
              <w:spacing w:before="0" w:beforeAutospacing="0" w:after="0" w:afterAutospacing="0" w:line="380" w:lineRule="exact"/>
              <w:ind w:left="0" w:right="0"/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委托代理人：</w:t>
            </w:r>
          </w:p>
          <w:p w14:paraId="65D81E16">
            <w:pPr>
              <w:keepNext w:val="0"/>
              <w:keepLines w:val="0"/>
              <w:suppressLineNumbers w:val="0"/>
              <w:spacing w:before="0" w:beforeAutospacing="0" w:after="0" w:afterAutospacing="0" w:line="380" w:lineRule="exact"/>
              <w:ind w:left="0" w:right="0"/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开户银行：</w:t>
            </w:r>
          </w:p>
          <w:p w14:paraId="220354EE">
            <w:pPr>
              <w:keepNext w:val="0"/>
              <w:keepLines w:val="0"/>
              <w:suppressLineNumbers w:val="0"/>
              <w:spacing w:before="0" w:beforeAutospacing="0" w:after="0" w:afterAutospacing="0" w:line="380" w:lineRule="exact"/>
              <w:ind w:left="0" w:right="0"/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帐号：</w:t>
            </w:r>
          </w:p>
          <w:p w14:paraId="3D6D4DB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电话：</w:t>
            </w:r>
          </w:p>
        </w:tc>
      </w:tr>
    </w:tbl>
    <w:p w14:paraId="17EB32EF"/>
    <w:sectPr>
      <w:headerReference r:id="rId3" w:type="default"/>
      <w:pgSz w:w="11907" w:h="16840"/>
      <w:pgMar w:top="1247" w:right="1361" w:bottom="1191" w:left="1361" w:header="851" w:footer="907" w:gutter="0"/>
      <w:cols w:space="720" w:num="1"/>
      <w:docGrid w:type="lines" w:linePitch="437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1" w:fontKey="{370599B2-7455-4BC1-9D95-2327BC0D3A60}"/>
  </w:font>
  <w:font w:name="方正大标宋简体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2" w:fontKey="{20C91563-A327-41A0-83EC-1249FAE19F55}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E341047">
    <w:pPr>
      <w:pStyle w:val="2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3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c2OTI5OGNlMTVjMDUzYzdmNTcwYzA2N2YwMjNjYmEifQ=="/>
  </w:docVars>
  <w:rsids>
    <w:rsidRoot w:val="005663E5"/>
    <w:rsid w:val="005663E5"/>
    <w:rsid w:val="00D471A3"/>
    <w:rsid w:val="01AF476B"/>
    <w:rsid w:val="217115CE"/>
    <w:rsid w:val="2B774EA2"/>
    <w:rsid w:val="3263587A"/>
    <w:rsid w:val="346C60D7"/>
    <w:rsid w:val="36551CA7"/>
    <w:rsid w:val="5DB8052B"/>
    <w:rsid w:val="66952B02"/>
    <w:rsid w:val="6F5824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0" w:semiHidden="0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24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ascii="Calibri" w:hAnsi="Calibri" w:eastAsia="宋体" w:cs="Times New Roman"/>
      <w:kern w:val="2"/>
      <w:sz w:val="21"/>
      <w:szCs w:val="22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header"/>
    <w:basedOn w:val="1"/>
    <w:link w:val="5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5">
    <w:name w:val="页眉 Char"/>
    <w:basedOn w:val="4"/>
    <w:link w:val="2"/>
    <w:uiPriority w:val="0"/>
    <w:rPr>
      <w:rFonts w:ascii="Times New Roman" w:hAnsi="Times New Roman" w:eastAsia="仿宋_GB2312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xitongtiandi.net</Company>
  <Pages>2</Pages>
  <Words>1307</Words>
  <Characters>1390</Characters>
  <Lines>13</Lines>
  <Paragraphs>3</Paragraphs>
  <TotalTime>4</TotalTime>
  <ScaleCrop>false</ScaleCrop>
  <LinksUpToDate>false</LinksUpToDate>
  <CharactersWithSpaces>1790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2023-04-12T07:21:00Z</dcterms:created>
  <dc:creator>Windows 用户</dc:creator>
  <cp:lastModifiedBy>潘国力</cp:lastModifiedBy>
  <dcterms:modified xsi:type="dcterms:W3CDTF">2025-11-17T02:57:13Z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EB88FE5E795F491098F219CC7364E7F9_13</vt:lpwstr>
  </property>
  <property fmtid="{D5CDD505-2E9C-101B-9397-08002B2CF9AE}" pid="4" name="KSOTemplateDocerSaveRecord">
    <vt:lpwstr>eyJoZGlkIjoiNGEyNjAyZjE5MTUyZWE4MDBlNDhiNGYzNGYwMDUxNWMiLCJ1c2VySWQiOiI0ODA2MDQyODIifQ==</vt:lpwstr>
  </property>
</Properties>
</file>